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rPr/>
      </w:pPr>
      <w:bookmarkStart w:colFirst="0" w:colLast="0" w:name="_lq2qga3lx0s9" w:id="0"/>
      <w:bookmarkEnd w:id="0"/>
      <w:r w:rsidDel="00000000" w:rsidR="00000000" w:rsidRPr="00000000">
        <w:rPr>
          <w:rtl w:val="0"/>
        </w:rPr>
        <w:t xml:space="preserve">[Name of chamber] clinical governance meeting</w:t>
      </w:r>
    </w:p>
    <w:p w:rsidR="00000000" w:rsidDel="00000000" w:rsidP="00000000" w:rsidRDefault="00000000" w:rsidRPr="00000000" w14:paraId="00000002">
      <w:pPr>
        <w:pStyle w:val="Subtitle"/>
        <w:rPr/>
      </w:pPr>
      <w:bookmarkStart w:colFirst="0" w:colLast="0" w:name="_rf74ueck8rri" w:id="1"/>
      <w:bookmarkEnd w:id="1"/>
      <w:r w:rsidDel="00000000" w:rsidR="00000000" w:rsidRPr="00000000">
        <w:rPr>
          <w:rtl w:val="0"/>
        </w:rPr>
        <w:t xml:space="preserve">One of the great things about a chambers is that it generates a conducive environment, combining both psychological safety and positive affect, thus opening up the opportunity for locums to openly discuss sensitive learning experiences with trusted colleagues.</w:t>
      </w:r>
    </w:p>
    <w:p w:rsidR="00000000" w:rsidDel="00000000" w:rsidP="00000000" w:rsidRDefault="00000000" w:rsidRPr="00000000" w14:paraId="00000003">
      <w:pPr>
        <w:pStyle w:val="Heading1"/>
        <w:rPr/>
      </w:pPr>
      <w:bookmarkStart w:colFirst="0" w:colLast="0" w:name="_hj5jmg7khtx7" w:id="2"/>
      <w:bookmarkEnd w:id="2"/>
      <w:r w:rsidDel="00000000" w:rsidR="00000000" w:rsidRPr="00000000">
        <w:rPr>
          <w:rtl w:val="0"/>
        </w:rPr>
        <w:t xml:space="preserve">[Date and time of event]</w:t>
      </w:r>
    </w:p>
    <w:p w:rsidR="00000000" w:rsidDel="00000000" w:rsidP="00000000" w:rsidRDefault="00000000" w:rsidRPr="00000000" w14:paraId="00000004">
      <w:pPr>
        <w:pStyle w:val="Subtitle"/>
        <w:rPr/>
      </w:pPr>
      <w:bookmarkStart w:colFirst="0" w:colLast="0" w:name="_a25cprxpkpv" w:id="3"/>
      <w:bookmarkEnd w:id="3"/>
      <w:r w:rsidDel="00000000" w:rsidR="00000000" w:rsidRPr="00000000">
        <w:rPr>
          <w:rtl w:val="0"/>
        </w:rPr>
        <w:t xml:space="preserve">[Venue address]</w:t>
      </w:r>
    </w:p>
    <w:p w:rsidR="00000000" w:rsidDel="00000000" w:rsidP="00000000" w:rsidRDefault="00000000" w:rsidRPr="00000000" w14:paraId="00000005">
      <w:pPr>
        <w:pStyle w:val="Heading1"/>
        <w:rPr/>
      </w:pPr>
      <w:bookmarkStart w:colFirst="0" w:colLast="0" w:name="_otddhlkoqrq6" w:id="4"/>
      <w:bookmarkEnd w:id="4"/>
      <w:r w:rsidDel="00000000" w:rsidR="00000000" w:rsidRPr="00000000">
        <w:rPr>
          <w:rtl w:val="0"/>
        </w:rPr>
        <w:t xml:space="preserve">Attendees</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Chambers locum #1 (chambers lead - chair)</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Chambers locum #3</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Chambers locum #3</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Etc</w:t>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Chambers representative (guest - e.g. chambers manager, clinical director)</w:t>
      </w:r>
    </w:p>
    <w:p w:rsidR="00000000" w:rsidDel="00000000" w:rsidP="00000000" w:rsidRDefault="00000000" w:rsidRPr="00000000" w14:paraId="0000000B">
      <w:pPr>
        <w:pStyle w:val="Heading1"/>
        <w:rPr/>
      </w:pPr>
      <w:bookmarkStart w:colFirst="0" w:colLast="0" w:name="_dq06rskle88k" w:id="5"/>
      <w:bookmarkEnd w:id="5"/>
      <w:r w:rsidDel="00000000" w:rsidR="00000000" w:rsidRPr="00000000">
        <w:rPr>
          <w:rtl w:val="0"/>
        </w:rPr>
        <w:t xml:space="preserve">Apologies</w:t>
      </w:r>
    </w:p>
    <w:p w:rsidR="00000000" w:rsidDel="00000000" w:rsidP="00000000" w:rsidRDefault="00000000" w:rsidRPr="00000000" w14:paraId="0000000C">
      <w:pPr>
        <w:numPr>
          <w:ilvl w:val="0"/>
          <w:numId w:val="4"/>
        </w:numPr>
        <w:ind w:left="720" w:hanging="360"/>
        <w:rPr>
          <w:u w:val="none"/>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1"/>
        <w:rPr/>
      </w:pPr>
      <w:bookmarkStart w:colFirst="0" w:colLast="0" w:name="_y6mc2mladgg7" w:id="6"/>
      <w:bookmarkEnd w:id="6"/>
      <w:r w:rsidDel="00000000" w:rsidR="00000000" w:rsidRPr="00000000">
        <w:rPr>
          <w:rtl w:val="0"/>
        </w:rPr>
        <w:t xml:space="preserve">Standing items</w:t>
      </w:r>
    </w:p>
    <w:p w:rsidR="00000000" w:rsidDel="00000000" w:rsidP="00000000" w:rsidRDefault="00000000" w:rsidRPr="00000000" w14:paraId="0000000F">
      <w:pPr>
        <w:numPr>
          <w:ilvl w:val="0"/>
          <w:numId w:val="3"/>
        </w:numPr>
        <w:ind w:left="720" w:hanging="360"/>
        <w:rPr>
          <w:u w:val="none"/>
        </w:rPr>
      </w:pPr>
      <w:hyperlink r:id="rId6">
        <w:r w:rsidDel="00000000" w:rsidR="00000000" w:rsidRPr="00000000">
          <w:rPr>
            <w:color w:val="1155cc"/>
            <w:u w:val="single"/>
            <w:rtl w:val="0"/>
          </w:rPr>
          <w:t xml:space="preserve">How to make your meeting less awful</w:t>
        </w:r>
      </w:hyperlink>
      <w:r w:rsidDel="00000000" w:rsidR="00000000" w:rsidRPr="00000000">
        <w:rPr>
          <w:rtl w:val="0"/>
        </w:rPr>
      </w:r>
    </w:p>
    <w:p w:rsidR="00000000" w:rsidDel="00000000" w:rsidP="00000000" w:rsidRDefault="00000000" w:rsidRPr="00000000" w14:paraId="00000010">
      <w:pPr>
        <w:numPr>
          <w:ilvl w:val="0"/>
          <w:numId w:val="3"/>
        </w:numPr>
        <w:ind w:left="720" w:hanging="360"/>
        <w:rPr>
          <w:u w:val="none"/>
        </w:rPr>
      </w:pPr>
      <w:hyperlink r:id="rId7">
        <w:r w:rsidDel="00000000" w:rsidR="00000000" w:rsidRPr="00000000">
          <w:rPr>
            <w:color w:val="1155cc"/>
            <w:u w:val="single"/>
            <w:rtl w:val="0"/>
          </w:rPr>
          <w:t xml:space="preserve">Avoid discussing rates</w:t>
        </w:r>
      </w:hyperlink>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1"/>
        <w:rPr/>
      </w:pPr>
      <w:bookmarkStart w:colFirst="0" w:colLast="0" w:name="_c56pd3agvg3k" w:id="7"/>
      <w:bookmarkEnd w:id="7"/>
      <w:r w:rsidDel="00000000" w:rsidR="00000000" w:rsidRPr="00000000">
        <w:rPr>
          <w:rtl w:val="0"/>
        </w:rPr>
        <w:t xml:space="preserve">Agenda</w:t>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Welcome</w:t>
      </w:r>
    </w:p>
    <w:p w:rsidR="00000000" w:rsidDel="00000000" w:rsidP="00000000" w:rsidRDefault="00000000" w:rsidRPr="00000000" w14:paraId="00000014">
      <w:pPr>
        <w:numPr>
          <w:ilvl w:val="1"/>
          <w:numId w:val="2"/>
        </w:numPr>
        <w:ind w:left="1440" w:hanging="360"/>
        <w:rPr>
          <w:u w:val="none"/>
        </w:rPr>
      </w:pPr>
      <w:r w:rsidDel="00000000" w:rsidR="00000000" w:rsidRPr="00000000">
        <w:rPr>
          <w:rtl w:val="0"/>
        </w:rPr>
        <w:t xml:space="preserve">Introduce new members (some chambers make a habit of baking a cake when a new member joins)</w:t>
      </w:r>
    </w:p>
    <w:p w:rsidR="00000000" w:rsidDel="00000000" w:rsidP="00000000" w:rsidRDefault="00000000" w:rsidRPr="00000000" w14:paraId="00000015">
      <w:pPr>
        <w:numPr>
          <w:ilvl w:val="1"/>
          <w:numId w:val="2"/>
        </w:numPr>
        <w:ind w:left="1440" w:hanging="360"/>
        <w:rPr>
          <w:u w:val="none"/>
        </w:rPr>
      </w:pPr>
      <w:r w:rsidDel="00000000" w:rsidR="00000000" w:rsidRPr="00000000">
        <w:rPr>
          <w:rtl w:val="0"/>
        </w:rPr>
        <w:t xml:space="preserve">Goodbye to leaving members</w:t>
      </w:r>
    </w:p>
    <w:p w:rsidR="00000000" w:rsidDel="00000000" w:rsidP="00000000" w:rsidRDefault="00000000" w:rsidRPr="00000000" w14:paraId="00000016">
      <w:pPr>
        <w:numPr>
          <w:ilvl w:val="0"/>
          <w:numId w:val="2"/>
        </w:numPr>
        <w:ind w:left="720" w:hanging="360"/>
        <w:rPr>
          <w:u w:val="none"/>
        </w:rPr>
      </w:pPr>
      <w:r w:rsidDel="00000000" w:rsidR="00000000" w:rsidRPr="00000000">
        <w:rPr>
          <w:rtl w:val="0"/>
        </w:rPr>
        <w:t xml:space="preserve">Update from chamber representative (if present)</w:t>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Update from chamber lead</w:t>
      </w:r>
    </w:p>
    <w:p w:rsidR="00000000" w:rsidDel="00000000" w:rsidP="00000000" w:rsidRDefault="00000000" w:rsidRPr="00000000" w14:paraId="00000018">
      <w:pPr>
        <w:numPr>
          <w:ilvl w:val="0"/>
          <w:numId w:val="2"/>
        </w:numPr>
        <w:ind w:left="720" w:hanging="360"/>
        <w:rPr>
          <w:u w:val="none"/>
        </w:rPr>
      </w:pPr>
      <w:r w:rsidDel="00000000" w:rsidR="00000000" w:rsidRPr="00000000">
        <w:rPr>
          <w:rtl w:val="0"/>
        </w:rPr>
        <w:t xml:space="preserve">Feedback from members</w:t>
      </w:r>
    </w:p>
    <w:p w:rsidR="00000000" w:rsidDel="00000000" w:rsidP="00000000" w:rsidRDefault="00000000" w:rsidRPr="00000000" w14:paraId="00000019">
      <w:pPr>
        <w:numPr>
          <w:ilvl w:val="1"/>
          <w:numId w:val="2"/>
        </w:numPr>
        <w:ind w:left="1440" w:hanging="360"/>
        <w:rPr>
          <w:u w:val="none"/>
        </w:rPr>
      </w:pPr>
      <w:r w:rsidDel="00000000" w:rsidR="00000000" w:rsidRPr="00000000">
        <w:rPr>
          <w:rtl w:val="0"/>
        </w:rPr>
        <w:t xml:space="preserve">To chambers, about bookings, sessions etc</w:t>
      </w:r>
    </w:p>
    <w:p w:rsidR="00000000" w:rsidDel="00000000" w:rsidP="00000000" w:rsidRDefault="00000000" w:rsidRPr="00000000" w14:paraId="0000001A">
      <w:pPr>
        <w:numPr>
          <w:ilvl w:val="1"/>
          <w:numId w:val="2"/>
        </w:numPr>
        <w:ind w:left="1440" w:hanging="360"/>
        <w:rPr>
          <w:u w:val="none"/>
        </w:rPr>
      </w:pPr>
      <w:r w:rsidDel="00000000" w:rsidR="00000000" w:rsidRPr="00000000">
        <w:rPr>
          <w:rtl w:val="0"/>
        </w:rPr>
        <w:t xml:space="preserve">At the end of this agenda item, you should be able to positively answer</w:t>
      </w:r>
      <w:r w:rsidDel="00000000" w:rsidR="00000000" w:rsidRPr="00000000">
        <w:rPr>
          <w:i w:val="1"/>
          <w:rtl w:val="0"/>
        </w:rPr>
        <w:t xml:space="preserve"> “Has everyone had an equal opportunity to share their experiences about working as a GP locum in this chamber?”</w:t>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Significant events</w:t>
      </w:r>
    </w:p>
    <w:p w:rsidR="00000000" w:rsidDel="00000000" w:rsidP="00000000" w:rsidRDefault="00000000" w:rsidRPr="00000000" w14:paraId="0000001C">
      <w:pPr>
        <w:numPr>
          <w:ilvl w:val="1"/>
          <w:numId w:val="2"/>
        </w:numPr>
        <w:ind w:left="1440" w:hanging="360"/>
        <w:rPr>
          <w:u w:val="none"/>
        </w:rPr>
      </w:pPr>
      <w:r w:rsidDel="00000000" w:rsidR="00000000" w:rsidRPr="00000000">
        <w:rPr>
          <w:rtl w:val="0"/>
        </w:rPr>
        <w:t xml:space="preserve">Clinical - a sensitive discussion regarding any clinical significant events or untoward events involving a chambers member NB ensure you have permission from the member before bringing this up for discussion.</w:t>
      </w:r>
    </w:p>
    <w:p w:rsidR="00000000" w:rsidDel="00000000" w:rsidP="00000000" w:rsidRDefault="00000000" w:rsidRPr="00000000" w14:paraId="0000001D">
      <w:pPr>
        <w:numPr>
          <w:ilvl w:val="1"/>
          <w:numId w:val="2"/>
        </w:numPr>
        <w:ind w:left="1440" w:hanging="360"/>
        <w:rPr>
          <w:u w:val="none"/>
        </w:rPr>
      </w:pPr>
      <w:r w:rsidDel="00000000" w:rsidR="00000000" w:rsidRPr="00000000">
        <w:rPr>
          <w:rtl w:val="0"/>
        </w:rPr>
        <w:t xml:space="preserve">Non-clinical - a discussion regarding any learning points from any non-clinical significant events since the last meeting. NB ensure you have permission from any members involved before bringing this up for discussion if they are going to be part of the discussion.</w:t>
      </w:r>
      <w:r w:rsidDel="00000000" w:rsidR="00000000" w:rsidRPr="00000000">
        <w:rPr>
          <w:rtl w:val="0"/>
        </w:rPr>
      </w:r>
    </w:p>
    <w:p w:rsidR="00000000" w:rsidDel="00000000" w:rsidP="00000000" w:rsidRDefault="00000000" w:rsidRPr="00000000" w14:paraId="0000001E">
      <w:pPr>
        <w:numPr>
          <w:ilvl w:val="1"/>
          <w:numId w:val="2"/>
        </w:numPr>
        <w:ind w:left="1440" w:hanging="360"/>
      </w:pPr>
      <w:r w:rsidDel="00000000" w:rsidR="00000000" w:rsidRPr="00000000">
        <w:rPr>
          <w:rtl w:val="0"/>
        </w:rPr>
        <w:t xml:space="preserve">At the end of this agenda item, you should be able to positively answer</w:t>
      </w:r>
      <w:r w:rsidDel="00000000" w:rsidR="00000000" w:rsidRPr="00000000">
        <w:rPr>
          <w:i w:val="1"/>
          <w:rtl w:val="0"/>
        </w:rPr>
        <w:t xml:space="preserve"> “Has everyone had an equal opportunity to discuss any recent events that are of concern to them and have received support from their chamber colleagues?”</w:t>
      </w:r>
      <w:r w:rsidDel="00000000" w:rsidR="00000000" w:rsidRPr="00000000">
        <w:rPr>
          <w:rtl w:val="0"/>
        </w:rPr>
      </w:r>
    </w:p>
    <w:p w:rsidR="00000000" w:rsidDel="00000000" w:rsidP="00000000" w:rsidRDefault="00000000" w:rsidRPr="00000000" w14:paraId="0000001F">
      <w:pPr>
        <w:numPr>
          <w:ilvl w:val="0"/>
          <w:numId w:val="2"/>
        </w:numPr>
        <w:ind w:left="720" w:hanging="360"/>
        <w:rPr>
          <w:u w:val="none"/>
        </w:rPr>
      </w:pPr>
      <w:r w:rsidDel="00000000" w:rsidR="00000000" w:rsidRPr="00000000">
        <w:rPr>
          <w:rtl w:val="0"/>
        </w:rPr>
        <w:t xml:space="preserve">Clinical presentation</w:t>
      </w:r>
    </w:p>
    <w:p w:rsidR="00000000" w:rsidDel="00000000" w:rsidP="00000000" w:rsidRDefault="00000000" w:rsidRPr="00000000" w14:paraId="00000020">
      <w:pPr>
        <w:numPr>
          <w:ilvl w:val="1"/>
          <w:numId w:val="2"/>
        </w:numPr>
        <w:ind w:left="1440" w:hanging="360"/>
        <w:rPr>
          <w:u w:val="none"/>
        </w:rPr>
      </w:pPr>
      <w:r w:rsidDel="00000000" w:rsidR="00000000" w:rsidRPr="00000000">
        <w:rPr>
          <w:rtl w:val="0"/>
        </w:rPr>
        <w:t xml:space="preserve">Can be a case presentation or an interesting clinical topic, or simply a ‘round-robin’, asking members about interesting cases in the last month.</w:t>
      </w:r>
    </w:p>
    <w:p w:rsidR="00000000" w:rsidDel="00000000" w:rsidP="00000000" w:rsidRDefault="00000000" w:rsidRPr="00000000" w14:paraId="00000021">
      <w:pPr>
        <w:numPr>
          <w:ilvl w:val="1"/>
          <w:numId w:val="2"/>
        </w:numPr>
        <w:ind w:left="1440" w:hanging="360"/>
      </w:pPr>
      <w:r w:rsidDel="00000000" w:rsidR="00000000" w:rsidRPr="00000000">
        <w:rPr>
          <w:rtl w:val="0"/>
        </w:rPr>
        <w:t xml:space="preserve">At the end of this agenda item, you should be able to positively answer</w:t>
      </w:r>
      <w:r w:rsidDel="00000000" w:rsidR="00000000" w:rsidRPr="00000000">
        <w:rPr>
          <w:i w:val="1"/>
          <w:rtl w:val="0"/>
        </w:rPr>
        <w:t xml:space="preserve"> “Has everyone had an equal opportunity to participate in the discussion of this clinical case?”</w:t>
      </w:r>
      <w:r w:rsidDel="00000000" w:rsidR="00000000" w:rsidRPr="00000000">
        <w:rPr>
          <w:rtl w:val="0"/>
        </w:rPr>
      </w:r>
    </w:p>
    <w:p w:rsidR="00000000" w:rsidDel="00000000" w:rsidP="00000000" w:rsidRDefault="00000000" w:rsidRPr="00000000" w14:paraId="00000022">
      <w:pPr>
        <w:numPr>
          <w:ilvl w:val="0"/>
          <w:numId w:val="2"/>
        </w:numPr>
        <w:ind w:left="720" w:hanging="360"/>
        <w:rPr>
          <w:u w:val="none"/>
        </w:rPr>
      </w:pPr>
      <w:r w:rsidDel="00000000" w:rsidR="00000000" w:rsidRPr="00000000">
        <w:rPr>
          <w:rtl w:val="0"/>
        </w:rPr>
        <w:t xml:space="preserve">Next meeting</w:t>
      </w:r>
    </w:p>
    <w:p w:rsidR="00000000" w:rsidDel="00000000" w:rsidP="00000000" w:rsidRDefault="00000000" w:rsidRPr="00000000" w14:paraId="00000023">
      <w:pPr>
        <w:numPr>
          <w:ilvl w:val="1"/>
          <w:numId w:val="2"/>
        </w:numPr>
        <w:ind w:left="1440" w:hanging="360"/>
        <w:rPr>
          <w:u w:val="none"/>
        </w:rPr>
      </w:pPr>
      <w:r w:rsidDel="00000000" w:rsidR="00000000" w:rsidRPr="00000000">
        <w:rPr>
          <w:rtl w:val="0"/>
        </w:rPr>
        <w:t xml:space="preserve">Date</w:t>
      </w:r>
    </w:p>
    <w:p w:rsidR="00000000" w:rsidDel="00000000" w:rsidP="00000000" w:rsidRDefault="00000000" w:rsidRPr="00000000" w14:paraId="00000024">
      <w:pPr>
        <w:numPr>
          <w:ilvl w:val="1"/>
          <w:numId w:val="2"/>
        </w:numPr>
        <w:ind w:left="1440" w:hanging="360"/>
        <w:rPr>
          <w:u w:val="none"/>
        </w:rPr>
      </w:pPr>
      <w:r w:rsidDel="00000000" w:rsidR="00000000" w:rsidRPr="00000000">
        <w:rPr>
          <w:rtl w:val="0"/>
        </w:rPr>
        <w:t xml:space="preserve">Venue</w:t>
      </w:r>
    </w:p>
    <w:p w:rsidR="00000000" w:rsidDel="00000000" w:rsidP="00000000" w:rsidRDefault="00000000" w:rsidRPr="00000000" w14:paraId="00000025">
      <w:pPr>
        <w:numPr>
          <w:ilvl w:val="1"/>
          <w:numId w:val="2"/>
        </w:numPr>
        <w:ind w:left="1440" w:hanging="360"/>
        <w:rPr>
          <w:u w:val="none"/>
        </w:rPr>
      </w:pPr>
      <w:r w:rsidDel="00000000" w:rsidR="00000000" w:rsidRPr="00000000">
        <w:rPr>
          <w:rtl w:val="0"/>
        </w:rPr>
        <w:t xml:space="preserve">Volunteer for case/clinical presentations?</w:t>
      </w:r>
    </w:p>
    <w:p w:rsidR="00000000" w:rsidDel="00000000" w:rsidP="00000000" w:rsidRDefault="00000000" w:rsidRPr="00000000" w14:paraId="00000026">
      <w:pPr>
        <w:numPr>
          <w:ilvl w:val="1"/>
          <w:numId w:val="2"/>
        </w:numPr>
        <w:ind w:left="1440" w:hanging="360"/>
        <w:rPr>
          <w:u w:val="none"/>
        </w:rPr>
      </w:pPr>
      <w:r w:rsidDel="00000000" w:rsidR="00000000" w:rsidRPr="00000000">
        <w:rPr>
          <w:rtl w:val="0"/>
        </w:rPr>
        <w:t xml:space="preserve">Upcoming social gatherings?</w:t>
      </w:r>
    </w:p>
    <w:p w:rsidR="00000000" w:rsidDel="00000000" w:rsidP="00000000" w:rsidRDefault="00000000" w:rsidRPr="00000000" w14:paraId="00000027">
      <w:pPr>
        <w:numPr>
          <w:ilvl w:val="0"/>
          <w:numId w:val="2"/>
        </w:numPr>
        <w:ind w:left="720" w:hanging="360"/>
        <w:rPr>
          <w:u w:val="none"/>
        </w:rPr>
      </w:pPr>
      <w:r w:rsidDel="00000000" w:rsidR="00000000" w:rsidRPr="00000000">
        <w:rPr>
          <w:rtl w:val="0"/>
        </w:rPr>
        <w:t xml:space="preserve">AOB</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Heading1"/>
        <w:rPr/>
      </w:pPr>
      <w:bookmarkStart w:colFirst="0" w:colLast="0" w:name="_rg0zi615ugn7" w:id="8"/>
      <w:bookmarkEnd w:id="8"/>
      <w:r w:rsidDel="00000000" w:rsidR="00000000" w:rsidRPr="00000000">
        <w:rPr>
          <w:rtl w:val="0"/>
        </w:rPr>
        <w:t xml:space="preserve">Actions for chambers lead</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numPr>
          <w:ilvl w:val="0"/>
          <w:numId w:val="5"/>
        </w:numPr>
        <w:ind w:left="720" w:hanging="360"/>
        <w:rPr>
          <w:u w:val="none"/>
        </w:rPr>
      </w:pPr>
      <w:r w:rsidDel="00000000" w:rsidR="00000000" w:rsidRPr="00000000">
        <w:rPr>
          <w:rtl w:val="0"/>
        </w:rPr>
        <w:t xml:space="preserve">Complete a </w:t>
      </w:r>
      <w:hyperlink r:id="rId8">
        <w:r w:rsidDel="00000000" w:rsidR="00000000" w:rsidRPr="00000000">
          <w:rPr>
            <w:color w:val="1155cc"/>
            <w:u w:val="single"/>
            <w:rtl w:val="0"/>
          </w:rPr>
          <w:t xml:space="preserve">chamber meeting ‘learning &amp; reflection’ template</w:t>
        </w:r>
      </w:hyperlink>
      <w:r w:rsidDel="00000000" w:rsidR="00000000" w:rsidRPr="00000000">
        <w:rPr>
          <w:rtl w:val="0"/>
        </w:rPr>
        <w:t xml:space="preserve">.</w:t>
      </w:r>
    </w:p>
    <w:p w:rsidR="00000000" w:rsidDel="00000000" w:rsidP="00000000" w:rsidRDefault="00000000" w:rsidRPr="00000000" w14:paraId="0000002C">
      <w:pPr>
        <w:rPr/>
      </w:pPr>
      <w:r w:rsidDel="00000000" w:rsidR="00000000" w:rsidRPr="00000000">
        <w:rPr>
          <w:rtl w:val="0"/>
        </w:rPr>
      </w:r>
    </w:p>
    <w:sectPr>
      <w:headerReference r:id="rId9" w:type="first"/>
      <w:headerReference r:id="rId10" w:type="default"/>
      <w:footerReference r:id="rId11" w:type="first"/>
      <w:footerReference r:id="rId12" w:type="default"/>
      <w:pgSz w:h="16838" w:w="11906"/>
      <w:pgMar w:bottom="566.9291338582677" w:top="566.9291338582677" w:left="566.9291338582677" w:right="566.9291338582677"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176213</wp:posOffset>
          </wp:positionV>
          <wp:extent cx="381000" cy="190500"/>
          <wp:effectExtent b="0" l="0" r="0" t="0"/>
          <wp:wrapSquare wrapText="bothSides" distB="114300" distT="114300" distL="114300" distR="114300"/>
          <wp:docPr descr="NASGP - Spip Standardised Practice Information Portal.png" id="3" name="image1.png"/>
          <a:graphic>
            <a:graphicData uri="http://schemas.openxmlformats.org/drawingml/2006/picture">
              <pic:pic>
                <pic:nvPicPr>
                  <pic:cNvPr descr="NASGP - Spip Standardised Practice Information Portal.png" id="0" name="image1.png"/>
                  <pic:cNvPicPr preferRelativeResize="0"/>
                </pic:nvPicPr>
                <pic:blipFill>
                  <a:blip r:embed="rId1"/>
                  <a:srcRect b="0" l="0" r="0" t="0"/>
                  <a:stretch>
                    <a:fillRect/>
                  </a:stretch>
                </pic:blipFill>
                <pic:spPr>
                  <a:xfrm>
                    <a:off x="0" y="0"/>
                    <a:ext cx="381000" cy="190500"/>
                  </a:xfrm>
                  <a:prstGeom prst="rect"/>
                  <a:ln/>
                </pic:spPr>
              </pic:pic>
            </a:graphicData>
          </a:graphic>
        </wp:anchor>
      </w:drawing>
    </w:r>
  </w:p>
  <w:tbl>
    <w:tblPr>
      <w:tblStyle w:val="Table1"/>
      <w:tblW w:w="10200.0" w:type="dxa"/>
      <w:jc w:val="left"/>
      <w:tblInd w:w="0.0" w:type="pct"/>
      <w:tblLayout w:type="fixed"/>
      <w:tblLook w:val="0600"/>
    </w:tblPr>
    <w:tblGrid>
      <w:gridCol w:w="5445"/>
      <w:gridCol w:w="4755"/>
      <w:tblGridChange w:id="0">
        <w:tblGrid>
          <w:gridCol w:w="5445"/>
          <w:gridCol w:w="4755"/>
        </w:tblGrid>
      </w:tblGridChange>
    </w:tblGrid>
    <w:tr>
      <w:tc>
        <w:tcPr>
          <w:tcBorders>
            <w:top w:color="d9d9d9" w:space="0" w:sz="4" w:val="single"/>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2E">
          <w:pPr>
            <w:spacing w:line="240" w:lineRule="auto"/>
            <w:rPr>
              <w:color w:val="666666"/>
              <w:sz w:val="16"/>
              <w:szCs w:val="16"/>
            </w:rPr>
          </w:pPr>
          <w:r w:rsidDel="00000000" w:rsidR="00000000" w:rsidRPr="00000000">
            <w:rPr>
              <w:rtl w:val="0"/>
            </w:rPr>
            <w:t xml:space="preserve"> </w:t>
          </w:r>
          <w:r w:rsidDel="00000000" w:rsidR="00000000" w:rsidRPr="00000000">
            <w:rPr>
              <w:color w:val="666666"/>
              <w:sz w:val="16"/>
              <w:szCs w:val="16"/>
              <w:rtl w:val="0"/>
            </w:rPr>
            <w:t xml:space="preserve">© NASGP  Page </w:t>
          </w:r>
          <w:r w:rsidDel="00000000" w:rsidR="00000000" w:rsidRPr="00000000">
            <w:rPr>
              <w:color w:val="666666"/>
              <w:sz w:val="16"/>
              <w:szCs w:val="16"/>
            </w:rPr>
            <w:fldChar w:fldCharType="begin"/>
            <w:instrText xml:space="preserve">PAGE</w:instrText>
            <w:fldChar w:fldCharType="separate"/>
            <w:fldChar w:fldCharType="end"/>
          </w:r>
          <w:r w:rsidDel="00000000" w:rsidR="00000000" w:rsidRPr="00000000">
            <w:rPr>
              <w:color w:val="666666"/>
              <w:sz w:val="16"/>
              <w:szCs w:val="16"/>
              <w:rtl w:val="0"/>
            </w:rPr>
            <w:t xml:space="preserve"> of </w:t>
          </w:r>
          <w:r w:rsidDel="00000000" w:rsidR="00000000" w:rsidRPr="00000000">
            <w:rPr>
              <w:color w:val="666666"/>
              <w:sz w:val="16"/>
              <w:szCs w:val="16"/>
            </w:rPr>
            <w:fldChar w:fldCharType="begin"/>
            <w:instrText xml:space="preserve">NUMPAGES</w:instrText>
            <w:fldChar w:fldCharType="separate"/>
            <w:fldChar w:fldCharType="end"/>
          </w:r>
          <w:r w:rsidDel="00000000" w:rsidR="00000000" w:rsidRPr="00000000">
            <w:rPr>
              <w:rtl w:val="0"/>
            </w:rPr>
          </w:r>
        </w:p>
      </w:tc>
      <w:tc>
        <w:tcPr>
          <w:tcBorders>
            <w:top w:color="d9d9d9" w:space="0" w:sz="4"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sz w:val="16"/>
        <w:szCs w:val="16"/>
      </w:rPr>
    </w:pPr>
    <w:r w:rsidDel="00000000" w:rsidR="00000000" w:rsidRPr="00000000">
      <w:rPr>
        <w:rtl w:val="0"/>
      </w:rPr>
    </w:r>
  </w:p>
  <w:tbl>
    <w:tblPr>
      <w:tblStyle w:val="Table2"/>
      <w:tblW w:w="10200.0" w:type="dxa"/>
      <w:jc w:val="left"/>
      <w:tblInd w:w="0.0" w:type="pct"/>
      <w:tblLayout w:type="fixed"/>
      <w:tblLook w:val="0600"/>
    </w:tblPr>
    <w:tblGrid>
      <w:gridCol w:w="6180"/>
      <w:gridCol w:w="4020"/>
      <w:tblGridChange w:id="0">
        <w:tblGrid>
          <w:gridCol w:w="6180"/>
          <w:gridCol w:w="4020"/>
        </w:tblGrid>
      </w:tblGridChange>
    </w:tblGrid>
    <w:tr>
      <w:trPr>
        <w:trHeight w:val="440" w:hRule="atLeast"/>
      </w:trPr>
      <w:tc>
        <w:tcPr>
          <w:gridSpan w:val="2"/>
          <w:tcBorders>
            <w:top w:color="000000" w:space="0" w:sz="0" w:val="nil"/>
            <w:left w:color="000000" w:space="0" w:sz="0" w:val="nil"/>
            <w:bottom w:color="999999"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32">
          <w:pPr>
            <w:spacing w:line="240" w:lineRule="auto"/>
            <w:jc w:val="right"/>
            <w:rPr>
              <w:b w:val="1"/>
              <w:color w:val="87b437"/>
              <w:sz w:val="48"/>
              <w:szCs w:val="48"/>
            </w:rPr>
          </w:pPr>
          <w:r w:rsidDel="00000000" w:rsidR="00000000" w:rsidRPr="00000000">
            <w:rPr>
              <w:rFonts w:ascii="Helvetica Neue" w:cs="Helvetica Neue" w:eastAsia="Helvetica Neue" w:hAnsi="Helvetica Neue"/>
            </w:rPr>
            <w:drawing>
              <wp:inline distB="114300" distT="114300" distL="114300" distR="114300">
                <wp:extent cx="626452" cy="1905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26452" cy="1905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rFonts w:ascii="Helvetica Neue" w:cs="Helvetica Neue" w:eastAsia="Helvetica Neue" w:hAnsi="Helvetica Neue"/>
      </w:rPr>
    </w:pPr>
    <w:r w:rsidDel="00000000" w:rsidR="00000000" w:rsidRPr="00000000">
      <w:rPr>
        <w:rtl w:val="0"/>
      </w:rPr>
    </w:r>
  </w:p>
  <w:tbl>
    <w:tblPr>
      <w:tblStyle w:val="Table3"/>
      <w:tblW w:w="1074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7965"/>
      <w:gridCol w:w="2775"/>
      <w:tblGridChange w:id="0">
        <w:tblGrid>
          <w:gridCol w:w="7965"/>
          <w:gridCol w:w="2775"/>
        </w:tblGrid>
      </w:tblGridChange>
    </w:tblGrid>
    <w:tr>
      <w:tc>
        <w:tcPr>
          <w:shd w:fill="efefef" w:val="clear"/>
          <w:tcMar>
            <w:top w:w="100.0" w:type="dxa"/>
            <w:left w:w="100.0" w:type="dxa"/>
            <w:bottom w:w="100.0" w:type="dxa"/>
            <w:right w:w="100.0" w:type="dxa"/>
          </w:tcMar>
          <w:vAlign w:val="center"/>
        </w:tcPr>
        <w:p w:rsidR="00000000" w:rsidDel="00000000" w:rsidP="00000000" w:rsidRDefault="00000000" w:rsidRPr="00000000" w14:paraId="00000036">
          <w:pPr>
            <w:pStyle w:val="Title"/>
            <w:spacing w:line="240" w:lineRule="auto"/>
            <w:rPr/>
          </w:pPr>
          <w:bookmarkStart w:colFirst="0" w:colLast="0" w:name="_o5oejeoxwjfe" w:id="9"/>
          <w:bookmarkEnd w:id="9"/>
          <w:r w:rsidDel="00000000" w:rsidR="00000000" w:rsidRPr="00000000">
            <w:rPr>
              <w:rtl w:val="0"/>
            </w:rPr>
            <w:t xml:space="preserve">Chamber clinical governance meeting agenda template</w:t>
          </w: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37">
          <w:pPr>
            <w:spacing w:line="24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rPr>
            <w:drawing>
              <wp:inline distB="114300" distT="114300" distL="114300" distR="114300">
                <wp:extent cx="1628775" cy="495300"/>
                <wp:effectExtent b="0" l="0" r="0" t="0"/>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628775" cy="4953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8">
    <w:pPr>
      <w:rPr>
        <w:rFonts w:ascii="Helvetica Neue" w:cs="Helvetica Neue" w:eastAsia="Helvetica Neue" w:hAnsi="Helvetica Neu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Helvetica Neue" w:cs="Helvetica Neue" w:eastAsia="Helvetica Neue" w:hAnsi="Helvetica Neue"/>
      <w:sz w:val="32"/>
      <w:szCs w:val="32"/>
    </w:rPr>
  </w:style>
  <w:style w:type="paragraph" w:styleId="Heading2">
    <w:name w:val="heading 2"/>
    <w:basedOn w:val="Normal"/>
    <w:next w:val="Normal"/>
    <w:pPr>
      <w:keepNext w:val="1"/>
      <w:keepLines w:val="1"/>
      <w:spacing w:before="200" w:lineRule="auto"/>
    </w:pPr>
    <w:rPr>
      <w:rFonts w:ascii="Helvetica Neue" w:cs="Helvetica Neue" w:eastAsia="Helvetica Neue" w:hAnsi="Helvetica Neue"/>
      <w:b w:val="1"/>
      <w:sz w:val="26"/>
      <w:szCs w:val="26"/>
    </w:rPr>
  </w:style>
  <w:style w:type="paragraph" w:styleId="Heading3">
    <w:name w:val="heading 3"/>
    <w:basedOn w:val="Normal"/>
    <w:next w:val="Normal"/>
    <w:pPr>
      <w:keepNext w:val="1"/>
      <w:keepLines w:val="1"/>
      <w:spacing w:before="160" w:lineRule="auto"/>
    </w:pPr>
    <w:rPr>
      <w:rFonts w:ascii="Helvetica Neue" w:cs="Helvetica Neue" w:eastAsia="Helvetica Neue" w:hAnsi="Helvetica Neue"/>
      <w:b w:val="1"/>
      <w:color w:val="666666"/>
      <w:sz w:val="24"/>
      <w:szCs w:val="24"/>
    </w:rPr>
  </w:style>
  <w:style w:type="paragraph" w:styleId="Heading4">
    <w:name w:val="heading 4"/>
    <w:basedOn w:val="Normal"/>
    <w:next w:val="Normal"/>
    <w:pPr>
      <w:keepNext w:val="1"/>
      <w:keepLines w:val="1"/>
      <w:spacing w:before="160" w:lineRule="auto"/>
    </w:pPr>
    <w:rPr>
      <w:rFonts w:ascii="Helvetica Neue" w:cs="Helvetica Neue" w:eastAsia="Helvetica Neue" w:hAnsi="Helvetica Neue"/>
      <w:color w:val="666666"/>
      <w:u w:val="single"/>
    </w:rPr>
  </w:style>
  <w:style w:type="paragraph" w:styleId="Heading5">
    <w:name w:val="heading 5"/>
    <w:basedOn w:val="Normal"/>
    <w:next w:val="Normal"/>
    <w:pPr>
      <w:keepNext w:val="1"/>
      <w:keepLines w:val="1"/>
      <w:spacing w:before="160" w:lineRule="auto"/>
    </w:pPr>
    <w:rPr>
      <w:rFonts w:ascii="Helvetica Neue" w:cs="Helvetica Neue" w:eastAsia="Helvetica Neue" w:hAnsi="Helvetica Neue"/>
      <w:color w:val="666666"/>
    </w:rPr>
  </w:style>
  <w:style w:type="paragraph" w:styleId="Heading6">
    <w:name w:val="heading 6"/>
    <w:basedOn w:val="Normal"/>
    <w:next w:val="Normal"/>
    <w:pPr/>
    <w:rPr>
      <w:rFonts w:ascii="Helvetica Neue" w:cs="Helvetica Neue" w:eastAsia="Helvetica Neue" w:hAnsi="Helvetica Neue"/>
    </w:rPr>
  </w:style>
  <w:style w:type="paragraph" w:styleId="Title">
    <w:name w:val="Title"/>
    <w:basedOn w:val="Normal"/>
    <w:next w:val="Normal"/>
    <w:pPr>
      <w:keepNext w:val="1"/>
      <w:keepLines w:val="1"/>
    </w:pPr>
    <w:rPr>
      <w:rFonts w:ascii="Helvetica Neue" w:cs="Helvetica Neue" w:eastAsia="Helvetica Neue" w:hAnsi="Helvetica Neue"/>
      <w:sz w:val="42"/>
      <w:szCs w:val="42"/>
    </w:rPr>
  </w:style>
  <w:style w:type="paragraph" w:styleId="Subtitle">
    <w:name w:val="Subtitle"/>
    <w:basedOn w:val="Normal"/>
    <w:next w:val="Normal"/>
    <w:pPr>
      <w:keepNext w:val="1"/>
      <w:keepLines w:val="1"/>
      <w:spacing w:after="200" w:lineRule="auto"/>
    </w:pPr>
    <w:rPr>
      <w:rFonts w:ascii="Helvetica Neue" w:cs="Helvetica Neue" w:eastAsia="Helvetica Neue" w:hAnsi="Helvetica Neue"/>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danpink.com/pinkcast/pinkcast-3-06-this-is-how-to-make-your-meetings-less-awful/" TargetMode="External"/><Relationship Id="rId7" Type="http://schemas.openxmlformats.org/officeDocument/2006/relationships/hyperlink" Target="https://www.gov.uk/cartels-price-fixing/types-of-anticompetitive-activity" TargetMode="External"/><Relationship Id="rId8" Type="http://schemas.openxmlformats.org/officeDocument/2006/relationships/hyperlink" Target="https://docs.google.com/document/d/1Cx_ZwVZ4jmtgTU1ZteSxk00hhulrt4mnUujXzjv-V2I/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