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Subtitle"/>
        <w:rPr>
          <w:b w:val="1"/>
        </w:rPr>
      </w:pPr>
      <w:bookmarkStart w:colFirst="0" w:colLast="0" w:name="_hw0da5b7h8dz" w:id="0"/>
      <w:bookmarkEnd w:id="0"/>
      <w:r w:rsidDel="00000000" w:rsidR="00000000" w:rsidRPr="00000000">
        <w:rPr>
          <w:rtl w:val="0"/>
        </w:rPr>
        <w:t xml:space="preserve">Suggested template for chamber manager job description</w:t>
      </w:r>
      <w:r w:rsidDel="00000000" w:rsidR="00000000" w:rsidRPr="00000000">
        <w:rPr>
          <w:rtl w:val="0"/>
        </w:rPr>
      </w:r>
    </w:p>
    <w:tbl>
      <w:tblPr>
        <w:tblStyle w:val="Table1"/>
        <w:tblW w:w="1020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6"/>
        <w:tblGridChange w:id="0">
          <w:tblGrid>
            <w:gridCol w:w="10206"/>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2">
            <w:pPr>
              <w:widowControl w:val="0"/>
              <w:spacing w:line="240" w:lineRule="auto"/>
              <w:rPr>
                <w:b w:val="1"/>
              </w:rPr>
            </w:pPr>
            <w:r w:rsidDel="00000000" w:rsidR="00000000" w:rsidRPr="00000000">
              <w:rPr>
                <w:b w:val="1"/>
                <w:rtl w:val="0"/>
              </w:rPr>
              <w:t xml:space="preserve">See online </w:t>
            </w:r>
          </w:p>
          <w:p w:rsidR="00000000" w:rsidDel="00000000" w:rsidP="00000000" w:rsidRDefault="00000000" w:rsidRPr="00000000" w14:paraId="00000003">
            <w:pPr>
              <w:widowControl w:val="0"/>
              <w:spacing w:line="240" w:lineRule="auto"/>
              <w:rPr>
                <w:b w:val="1"/>
              </w:rPr>
            </w:pPr>
            <w:r w:rsidDel="00000000" w:rsidR="00000000" w:rsidRPr="00000000">
              <w:rPr>
                <w:rtl w:val="0"/>
              </w:rPr>
            </w:r>
          </w:p>
          <w:p w:rsidR="00000000" w:rsidDel="00000000" w:rsidP="00000000" w:rsidRDefault="00000000" w:rsidRPr="00000000" w14:paraId="00000004">
            <w:pPr>
              <w:widowControl w:val="0"/>
              <w:numPr>
                <w:ilvl w:val="0"/>
                <w:numId w:val="2"/>
              </w:numPr>
              <w:spacing w:line="240" w:lineRule="auto"/>
              <w:ind w:left="720" w:hanging="360"/>
              <w:rPr>
                <w:b w:val="1"/>
              </w:rPr>
            </w:pPr>
            <w:hyperlink r:id="rId6">
              <w:r w:rsidDel="00000000" w:rsidR="00000000" w:rsidRPr="00000000">
                <w:rPr>
                  <w:b w:val="1"/>
                  <w:color w:val="1155cc"/>
                  <w:u w:val="single"/>
                  <w:rtl w:val="0"/>
                </w:rPr>
                <w:t xml:space="preserve">NASGP LocumDeck Chambers Operating System</w:t>
              </w:r>
            </w:hyperlink>
            <w:r w:rsidDel="00000000" w:rsidR="00000000" w:rsidRPr="00000000">
              <w:rPr>
                <w:rtl w:val="0"/>
              </w:rPr>
            </w:r>
          </w:p>
          <w:p w:rsidR="00000000" w:rsidDel="00000000" w:rsidP="00000000" w:rsidRDefault="00000000" w:rsidRPr="00000000" w14:paraId="00000005">
            <w:pPr>
              <w:widowControl w:val="0"/>
              <w:spacing w:line="240" w:lineRule="auto"/>
              <w:ind w:left="720" w:firstLine="0"/>
              <w:rPr>
                <w:b w:val="1"/>
              </w:rPr>
            </w:pPr>
            <w:r w:rsidDel="00000000" w:rsidR="00000000" w:rsidRPr="00000000">
              <w:rPr>
                <w:rtl w:val="0"/>
              </w:rPr>
            </w:r>
          </w:p>
        </w:tc>
      </w:tr>
    </w:tbl>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pStyle w:val="Heading3"/>
        <w:rPr/>
      </w:pPr>
      <w:bookmarkStart w:colFirst="0" w:colLast="0" w:name="_r75adth0qthd" w:id="1"/>
      <w:bookmarkEnd w:id="1"/>
      <w:r w:rsidDel="00000000" w:rsidR="00000000" w:rsidRPr="00000000">
        <w:rPr>
          <w:rtl w:val="0"/>
        </w:rPr>
        <w:t xml:space="preserve">Role Title</w:t>
      </w:r>
    </w:p>
    <w:p w:rsidR="00000000" w:rsidDel="00000000" w:rsidP="00000000" w:rsidRDefault="00000000" w:rsidRPr="00000000" w14:paraId="00000008">
      <w:pPr>
        <w:numPr>
          <w:ilvl w:val="0"/>
          <w:numId w:val="4"/>
        </w:numPr>
        <w:ind w:left="720" w:hanging="360"/>
        <w:rPr>
          <w:u w:val="none"/>
        </w:rPr>
      </w:pPr>
      <w:r w:rsidDel="00000000" w:rsidR="00000000" w:rsidRPr="00000000">
        <w:rPr>
          <w:rtl w:val="0"/>
        </w:rPr>
        <w:t xml:space="preserve">Chamber Director</w:t>
      </w:r>
    </w:p>
    <w:p w:rsidR="00000000" w:rsidDel="00000000" w:rsidP="00000000" w:rsidRDefault="00000000" w:rsidRPr="00000000" w14:paraId="00000009">
      <w:pPr>
        <w:pStyle w:val="Heading3"/>
        <w:rPr/>
      </w:pPr>
      <w:bookmarkStart w:colFirst="0" w:colLast="0" w:name="_h8nwdpfet2hs" w:id="2"/>
      <w:bookmarkEnd w:id="2"/>
      <w:r w:rsidDel="00000000" w:rsidR="00000000" w:rsidRPr="00000000">
        <w:rPr>
          <w:rtl w:val="0"/>
        </w:rPr>
        <w:t xml:space="preserve">Employment Status</w:t>
      </w:r>
    </w:p>
    <w:p w:rsidR="00000000" w:rsidDel="00000000" w:rsidP="00000000" w:rsidRDefault="00000000" w:rsidRPr="00000000" w14:paraId="0000000A">
      <w:pPr>
        <w:numPr>
          <w:ilvl w:val="0"/>
          <w:numId w:val="15"/>
        </w:numPr>
        <w:spacing w:after="0" w:afterAutospacing="0"/>
        <w:ind w:left="720" w:hanging="360"/>
        <w:rPr>
          <w:u w:val="none"/>
        </w:rPr>
      </w:pPr>
      <w:r w:rsidDel="00000000" w:rsidR="00000000" w:rsidRPr="00000000">
        <w:rPr>
          <w:rtl w:val="0"/>
        </w:rPr>
        <w:t xml:space="preserve">Employed</w:t>
      </w:r>
    </w:p>
    <w:p w:rsidR="00000000" w:rsidDel="00000000" w:rsidP="00000000" w:rsidRDefault="00000000" w:rsidRPr="00000000" w14:paraId="0000000B">
      <w:pPr>
        <w:numPr>
          <w:ilvl w:val="0"/>
          <w:numId w:val="15"/>
        </w:numPr>
        <w:spacing w:after="0" w:afterAutospacing="0"/>
        <w:ind w:left="720" w:hanging="360"/>
        <w:rPr>
          <w:u w:val="none"/>
        </w:rPr>
      </w:pPr>
      <w:r w:rsidDel="00000000" w:rsidR="00000000" w:rsidRPr="00000000">
        <w:rPr>
          <w:rtl w:val="0"/>
        </w:rPr>
        <w:t xml:space="preserve">Part/Full Time</w:t>
      </w:r>
    </w:p>
    <w:p w:rsidR="00000000" w:rsidDel="00000000" w:rsidP="00000000" w:rsidRDefault="00000000" w:rsidRPr="00000000" w14:paraId="0000000C">
      <w:pPr>
        <w:numPr>
          <w:ilvl w:val="0"/>
          <w:numId w:val="15"/>
        </w:numPr>
        <w:ind w:left="720" w:hanging="360"/>
        <w:rPr>
          <w:u w:val="none"/>
        </w:rPr>
      </w:pPr>
      <w:r w:rsidDel="00000000" w:rsidR="00000000" w:rsidRPr="00000000">
        <w:rPr>
          <w:rtl w:val="0"/>
        </w:rPr>
        <w:t xml:space="preserve">‘Bonus’/activity related - the more members under their wing, the higher the pay.</w:t>
      </w:r>
    </w:p>
    <w:p w:rsidR="00000000" w:rsidDel="00000000" w:rsidP="00000000" w:rsidRDefault="00000000" w:rsidRPr="00000000" w14:paraId="0000000D">
      <w:pPr>
        <w:pStyle w:val="Heading3"/>
        <w:rPr/>
      </w:pPr>
      <w:bookmarkStart w:colFirst="0" w:colLast="0" w:name="_je81rvs260jk" w:id="3"/>
      <w:bookmarkEnd w:id="3"/>
      <w:r w:rsidDel="00000000" w:rsidR="00000000" w:rsidRPr="00000000">
        <w:rPr>
          <w:rtl w:val="0"/>
        </w:rPr>
        <w:t xml:space="preserve">Accountable to</w:t>
      </w:r>
    </w:p>
    <w:p w:rsidR="00000000" w:rsidDel="00000000" w:rsidP="00000000" w:rsidRDefault="00000000" w:rsidRPr="00000000" w14:paraId="0000000E">
      <w:pPr>
        <w:numPr>
          <w:ilvl w:val="0"/>
          <w:numId w:val="10"/>
        </w:numPr>
        <w:ind w:left="720" w:hanging="360"/>
        <w:rPr>
          <w:u w:val="none"/>
        </w:rPr>
      </w:pPr>
      <w:r w:rsidDel="00000000" w:rsidR="00000000" w:rsidRPr="00000000">
        <w:rPr>
          <w:rtl w:val="0"/>
        </w:rPr>
      </w:r>
    </w:p>
    <w:p w:rsidR="00000000" w:rsidDel="00000000" w:rsidP="00000000" w:rsidRDefault="00000000" w:rsidRPr="00000000" w14:paraId="0000000F">
      <w:pPr>
        <w:pStyle w:val="Heading3"/>
        <w:rPr/>
      </w:pPr>
      <w:bookmarkStart w:colFirst="0" w:colLast="0" w:name="_4s68qji38wq2" w:id="4"/>
      <w:bookmarkEnd w:id="4"/>
      <w:r w:rsidDel="00000000" w:rsidR="00000000" w:rsidRPr="00000000">
        <w:rPr>
          <w:rtl w:val="0"/>
        </w:rPr>
        <w:t xml:space="preserve">Reporting to</w:t>
      </w:r>
    </w:p>
    <w:p w:rsidR="00000000" w:rsidDel="00000000" w:rsidP="00000000" w:rsidRDefault="00000000" w:rsidRPr="00000000" w14:paraId="00000010">
      <w:pPr>
        <w:numPr>
          <w:ilvl w:val="0"/>
          <w:numId w:val="12"/>
        </w:numPr>
        <w:ind w:left="720" w:hanging="360"/>
        <w:rPr>
          <w:u w:val="none"/>
        </w:rPr>
      </w:pPr>
      <w:r w:rsidDel="00000000" w:rsidR="00000000" w:rsidRPr="00000000">
        <w:rPr>
          <w:rtl w:val="0"/>
        </w:rPr>
      </w:r>
    </w:p>
    <w:p w:rsidR="00000000" w:rsidDel="00000000" w:rsidP="00000000" w:rsidRDefault="00000000" w:rsidRPr="00000000" w14:paraId="00000011">
      <w:pPr>
        <w:pStyle w:val="Heading3"/>
        <w:rPr/>
      </w:pPr>
      <w:bookmarkStart w:colFirst="0" w:colLast="0" w:name="_jt8qciak3trn" w:id="5"/>
      <w:bookmarkEnd w:id="5"/>
      <w:r w:rsidDel="00000000" w:rsidR="00000000" w:rsidRPr="00000000">
        <w:rPr>
          <w:rtl w:val="0"/>
        </w:rPr>
        <w:t xml:space="preserve">Place of work</w:t>
      </w:r>
    </w:p>
    <w:p w:rsidR="00000000" w:rsidDel="00000000" w:rsidP="00000000" w:rsidRDefault="00000000" w:rsidRPr="00000000" w14:paraId="00000012">
      <w:pPr>
        <w:numPr>
          <w:ilvl w:val="0"/>
          <w:numId w:val="7"/>
        </w:numPr>
        <w:ind w:left="720" w:hanging="360"/>
        <w:rPr/>
      </w:pPr>
      <w:r w:rsidDel="00000000" w:rsidR="00000000" w:rsidRPr="00000000">
        <w:rPr>
          <w:rtl w:val="0"/>
        </w:rPr>
        <w:t xml:space="preserve">Home</w:t>
      </w:r>
      <w:r w:rsidDel="00000000" w:rsidR="00000000" w:rsidRPr="00000000">
        <w:rPr>
          <w:rtl w:val="0"/>
        </w:rPr>
        <w:t xml:space="preserve"> and location</w:t>
      </w:r>
    </w:p>
    <w:p w:rsidR="00000000" w:rsidDel="00000000" w:rsidP="00000000" w:rsidRDefault="00000000" w:rsidRPr="00000000" w14:paraId="00000013">
      <w:pPr>
        <w:pStyle w:val="Heading3"/>
        <w:rPr/>
      </w:pPr>
      <w:bookmarkStart w:colFirst="0" w:colLast="0" w:name="_l0hwo86qz597" w:id="6"/>
      <w:bookmarkEnd w:id="6"/>
      <w:r w:rsidDel="00000000" w:rsidR="00000000" w:rsidRPr="00000000">
        <w:rPr>
          <w:rtl w:val="0"/>
        </w:rPr>
        <w:t xml:space="preserve">Pay Band</w:t>
      </w:r>
    </w:p>
    <w:p w:rsidR="00000000" w:rsidDel="00000000" w:rsidP="00000000" w:rsidRDefault="00000000" w:rsidRPr="00000000" w14:paraId="00000014">
      <w:pPr>
        <w:numPr>
          <w:ilvl w:val="0"/>
          <w:numId w:val="3"/>
        </w:numPr>
        <w:ind w:left="720" w:hanging="360"/>
        <w:rPr>
          <w:highlight w:val="yellow"/>
        </w:rPr>
      </w:pPr>
      <w:r w:rsidDel="00000000" w:rsidR="00000000" w:rsidRPr="00000000">
        <w:rPr>
          <w:highlight w:val="yellow"/>
          <w:rtl w:val="0"/>
        </w:rPr>
        <w:t xml:space="preserve">[£80 per hour/ To be agreed]</w:t>
      </w:r>
    </w:p>
    <w:p w:rsidR="00000000" w:rsidDel="00000000" w:rsidP="00000000" w:rsidRDefault="00000000" w:rsidRPr="00000000" w14:paraId="00000015">
      <w:pPr>
        <w:pStyle w:val="Heading3"/>
        <w:rPr/>
      </w:pPr>
      <w:bookmarkStart w:colFirst="0" w:colLast="0" w:name="_xuw115hz9lid" w:id="7"/>
      <w:bookmarkEnd w:id="7"/>
      <w:r w:rsidDel="00000000" w:rsidR="00000000" w:rsidRPr="00000000">
        <w:rPr>
          <w:rtl w:val="0"/>
        </w:rPr>
        <w:t xml:space="preserve">Hours</w:t>
      </w:r>
    </w:p>
    <w:p w:rsidR="00000000" w:rsidDel="00000000" w:rsidP="00000000" w:rsidRDefault="00000000" w:rsidRPr="00000000" w14:paraId="00000016">
      <w:pPr>
        <w:numPr>
          <w:ilvl w:val="0"/>
          <w:numId w:val="18"/>
        </w:numPr>
        <w:ind w:left="720" w:hanging="360"/>
        <w:rPr>
          <w:highlight w:val="yellow"/>
        </w:rPr>
      </w:pPr>
      <w:r w:rsidDel="00000000" w:rsidR="00000000" w:rsidRPr="00000000">
        <w:rPr>
          <w:highlight w:val="yellow"/>
          <w:rtl w:val="0"/>
        </w:rPr>
        <w:t xml:space="preserve">[To be agreed/ 1 – 2 sessions per week]</w:t>
      </w:r>
    </w:p>
    <w:p w:rsidR="00000000" w:rsidDel="00000000" w:rsidP="00000000" w:rsidRDefault="00000000" w:rsidRPr="00000000" w14:paraId="00000017">
      <w:pPr>
        <w:pStyle w:val="Heading3"/>
        <w:rPr/>
      </w:pPr>
      <w:bookmarkStart w:colFirst="0" w:colLast="0" w:name="_ujq6myv04e3o" w:id="8"/>
      <w:bookmarkEnd w:id="8"/>
      <w:r w:rsidDel="00000000" w:rsidR="00000000" w:rsidRPr="00000000">
        <w:rPr>
          <w:rtl w:val="0"/>
        </w:rPr>
        <w:t xml:space="preserve">Contract</w:t>
      </w:r>
    </w:p>
    <w:p w:rsidR="00000000" w:rsidDel="00000000" w:rsidP="00000000" w:rsidRDefault="00000000" w:rsidRPr="00000000" w14:paraId="00000018">
      <w:pPr>
        <w:numPr>
          <w:ilvl w:val="0"/>
          <w:numId w:val="5"/>
        </w:numPr>
        <w:ind w:left="720" w:hanging="360"/>
        <w:rPr>
          <w:u w:val="none"/>
        </w:rPr>
      </w:pPr>
      <w:r w:rsidDel="00000000" w:rsidR="00000000" w:rsidRPr="00000000">
        <w:rPr>
          <w:rtl w:val="0"/>
        </w:rPr>
        <w:t xml:space="preserve">12 months</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pStyle w:val="Heading2"/>
        <w:rPr/>
      </w:pPr>
      <w:bookmarkStart w:colFirst="0" w:colLast="0" w:name="_k5vr2wpx8y4x" w:id="9"/>
      <w:bookmarkEnd w:id="9"/>
      <w:r w:rsidDel="00000000" w:rsidR="00000000" w:rsidRPr="00000000">
        <w:br w:type="page"/>
      </w:r>
      <w:r w:rsidDel="00000000" w:rsidR="00000000" w:rsidRPr="00000000">
        <w:rPr>
          <w:rtl w:val="0"/>
        </w:rPr>
      </w:r>
    </w:p>
    <w:p w:rsidR="00000000" w:rsidDel="00000000" w:rsidP="00000000" w:rsidRDefault="00000000" w:rsidRPr="00000000" w14:paraId="0000001C">
      <w:pPr>
        <w:pStyle w:val="Heading2"/>
        <w:rPr/>
      </w:pPr>
      <w:bookmarkStart w:colFirst="0" w:colLast="0" w:name="_bvw0sur08ngm" w:id="10"/>
      <w:bookmarkEnd w:id="10"/>
      <w:r w:rsidDel="00000000" w:rsidR="00000000" w:rsidRPr="00000000">
        <w:rPr>
          <w:rtl w:val="0"/>
        </w:rPr>
        <w:t xml:space="preserve">Description</w:t>
      </w:r>
    </w:p>
    <w:p w:rsidR="00000000" w:rsidDel="00000000" w:rsidP="00000000" w:rsidRDefault="00000000" w:rsidRPr="00000000" w14:paraId="0000001D">
      <w:pPr>
        <w:rPr/>
      </w:pPr>
      <w:r w:rsidDel="00000000" w:rsidR="00000000" w:rsidRPr="00000000">
        <w:rPr>
          <w:rtl w:val="0"/>
        </w:rPr>
        <w:t xml:space="preserve">We are the leading membership organisation for GP locums across the UK with a passion for valuing the diversity and complexity of our primary care workforce. As part of this, we are creating professional communities of local, well supported GP locums, working within virtual entities called GP locum chambers. As well as providing effective and efficient short-term support for our GP practices, we also want to help recruit and retain these GPs, helping us build a more sustainable future workforce, whilst at the same time supporting GP practices to improve patient care.</w:t>
      </w:r>
    </w:p>
    <w:p w:rsidR="00000000" w:rsidDel="00000000" w:rsidP="00000000" w:rsidRDefault="00000000" w:rsidRPr="00000000" w14:paraId="0000001E">
      <w:pPr>
        <w:rPr/>
      </w:pPr>
      <w:r w:rsidDel="00000000" w:rsidR="00000000" w:rsidRPr="00000000">
        <w:rPr>
          <w:rtl w:val="0"/>
        </w:rPr>
        <w:t xml:space="preserve">These GP locum chambers will naturally coalesce in regional areas, with the aim of creating a locum chamber in every town in the UK.</w:t>
      </w:r>
      <w:r w:rsidDel="00000000" w:rsidR="00000000" w:rsidRPr="00000000">
        <w:br w:type="page"/>
      </w:r>
      <w:r w:rsidDel="00000000" w:rsidR="00000000" w:rsidRPr="00000000">
        <w:rPr>
          <w:rtl w:val="0"/>
        </w:rPr>
      </w:r>
    </w:p>
    <w:p w:rsidR="00000000" w:rsidDel="00000000" w:rsidP="00000000" w:rsidRDefault="00000000" w:rsidRPr="00000000" w14:paraId="0000001F">
      <w:pPr>
        <w:pStyle w:val="Heading2"/>
        <w:rPr/>
      </w:pPr>
      <w:bookmarkStart w:colFirst="0" w:colLast="0" w:name="_heupmepk0m5r" w:id="11"/>
      <w:bookmarkEnd w:id="11"/>
      <w:r w:rsidDel="00000000" w:rsidR="00000000" w:rsidRPr="00000000">
        <w:rPr>
          <w:rtl w:val="0"/>
        </w:rPr>
        <w:t xml:space="preserve">Roles and responsibilities</w:t>
      </w:r>
    </w:p>
    <w:p w:rsidR="00000000" w:rsidDel="00000000" w:rsidP="00000000" w:rsidRDefault="00000000" w:rsidRPr="00000000" w14:paraId="00000020">
      <w:pPr>
        <w:rPr/>
      </w:pPr>
      <w:r w:rsidDel="00000000" w:rsidR="00000000" w:rsidRPr="00000000">
        <w:rPr>
          <w:rtl w:val="0"/>
        </w:rPr>
        <w:t xml:space="preserve">You will be the director for all locum chambers operated by NASGP in your specified region, overseeing approximately 150 locums across up to 10 different local chambers operated by NASGP.</w:t>
      </w:r>
    </w:p>
    <w:p w:rsidR="00000000" w:rsidDel="00000000" w:rsidP="00000000" w:rsidRDefault="00000000" w:rsidRPr="00000000" w14:paraId="00000021">
      <w:pPr>
        <w:rPr/>
      </w:pPr>
      <w:r w:rsidDel="00000000" w:rsidR="00000000" w:rsidRPr="00000000">
        <w:rPr>
          <w:rtl w:val="0"/>
        </w:rPr>
        <w:t xml:space="preserve">Have oversight in the design and operation of clinical governance processes and pathways, including involvement in developing Quality Improvement Activities (QIA) for the chamber.</w:t>
      </w:r>
    </w:p>
    <w:p w:rsidR="00000000" w:rsidDel="00000000" w:rsidP="00000000" w:rsidRDefault="00000000" w:rsidRPr="00000000" w14:paraId="00000022">
      <w:pPr>
        <w:rPr/>
      </w:pPr>
      <w:r w:rsidDel="00000000" w:rsidR="00000000" w:rsidRPr="00000000">
        <w:rPr>
          <w:rtl w:val="0"/>
        </w:rPr>
        <w:t xml:space="preserve">Act as a point of contact for organisations outside the chamber e.g. GP Federation, CCG, Primary Care Networks, in ensuring healthcare system safety.</w:t>
      </w:r>
    </w:p>
    <w:p w:rsidR="00000000" w:rsidDel="00000000" w:rsidP="00000000" w:rsidRDefault="00000000" w:rsidRPr="00000000" w14:paraId="00000023">
      <w:pPr>
        <w:rPr/>
      </w:pPr>
      <w:r w:rsidDel="00000000" w:rsidR="00000000" w:rsidRPr="00000000">
        <w:rPr>
          <w:rtl w:val="0"/>
        </w:rPr>
        <w:t xml:space="preserve">Have oversight and input into the continuing professional development for chamber members.</w:t>
      </w:r>
    </w:p>
    <w:p w:rsidR="00000000" w:rsidDel="00000000" w:rsidP="00000000" w:rsidRDefault="00000000" w:rsidRPr="00000000" w14:paraId="00000024">
      <w:pPr>
        <w:rPr/>
      </w:pPr>
      <w:r w:rsidDel="00000000" w:rsidR="00000000" w:rsidRPr="00000000">
        <w:rPr>
          <w:rtl w:val="0"/>
        </w:rPr>
        <w:t xml:space="preserve">Provide support for the Chamber Lead and Chamber Manager for quality concerns relating to members, practices or the wider healthcare system.</w:t>
      </w:r>
    </w:p>
    <w:p w:rsidR="00000000" w:rsidDel="00000000" w:rsidP="00000000" w:rsidRDefault="00000000" w:rsidRPr="00000000" w14:paraId="00000025">
      <w:pPr>
        <w:rPr/>
      </w:pPr>
      <w:r w:rsidDel="00000000" w:rsidR="00000000" w:rsidRPr="00000000">
        <w:rPr>
          <w:rtl w:val="0"/>
        </w:rPr>
        <w:t xml:space="preserve">As required, provide quality assurance advice and support when onboarding new chamber members.</w:t>
      </w:r>
    </w:p>
    <w:p w:rsidR="00000000" w:rsidDel="00000000" w:rsidP="00000000" w:rsidRDefault="00000000" w:rsidRPr="00000000" w14:paraId="00000026">
      <w:pPr>
        <w:rPr/>
      </w:pPr>
      <w:r w:rsidDel="00000000" w:rsidR="00000000" w:rsidRPr="00000000">
        <w:rPr>
          <w:rtl w:val="0"/>
        </w:rPr>
        <w:t xml:space="preserve">Provide a key contribution in managing performance concerns and significant events involving locum members as required. </w:t>
      </w:r>
    </w:p>
    <w:p w:rsidR="00000000" w:rsidDel="00000000" w:rsidP="00000000" w:rsidRDefault="00000000" w:rsidRPr="00000000" w14:paraId="00000027">
      <w:pPr>
        <w:pStyle w:val="Heading3"/>
        <w:rPr/>
      </w:pPr>
      <w:bookmarkStart w:colFirst="0" w:colLast="0" w:name="_afmiw9bqg1z2" w:id="12"/>
      <w:bookmarkEnd w:id="12"/>
      <w:r w:rsidDel="00000000" w:rsidR="00000000" w:rsidRPr="00000000">
        <w:rPr>
          <w:rtl w:val="0"/>
        </w:rPr>
        <w:t xml:space="preserve">Ambassador</w:t>
      </w:r>
    </w:p>
    <w:p w:rsidR="00000000" w:rsidDel="00000000" w:rsidP="00000000" w:rsidRDefault="00000000" w:rsidRPr="00000000" w14:paraId="00000028">
      <w:pPr>
        <w:numPr>
          <w:ilvl w:val="0"/>
          <w:numId w:val="8"/>
        </w:numPr>
        <w:ind w:left="720" w:hanging="360"/>
      </w:pPr>
      <w:r w:rsidDel="00000000" w:rsidR="00000000" w:rsidRPr="00000000">
        <w:rPr>
          <w:rtl w:val="0"/>
        </w:rPr>
        <w:t xml:space="preserve">The local chambers figurehead, able to speak with authority to the senior decision makers of local primary care organisations.</w:t>
      </w:r>
    </w:p>
    <w:p w:rsidR="00000000" w:rsidDel="00000000" w:rsidP="00000000" w:rsidRDefault="00000000" w:rsidRPr="00000000" w14:paraId="00000029">
      <w:pPr>
        <w:pStyle w:val="Heading3"/>
        <w:rPr/>
      </w:pPr>
      <w:bookmarkStart w:colFirst="0" w:colLast="0" w:name="_hu3ti24uaryx" w:id="13"/>
      <w:bookmarkEnd w:id="13"/>
      <w:r w:rsidDel="00000000" w:rsidR="00000000" w:rsidRPr="00000000">
        <w:rPr>
          <w:rtl w:val="0"/>
        </w:rPr>
        <w:t xml:space="preserve">Representation and networking</w:t>
      </w:r>
    </w:p>
    <w:p w:rsidR="00000000" w:rsidDel="00000000" w:rsidP="00000000" w:rsidRDefault="00000000" w:rsidRPr="00000000" w14:paraId="0000002A">
      <w:pPr>
        <w:numPr>
          <w:ilvl w:val="0"/>
          <w:numId w:val="13"/>
        </w:numPr>
        <w:spacing w:after="0" w:afterAutospacing="0"/>
        <w:ind w:left="720" w:hanging="360"/>
        <w:rPr>
          <w:u w:val="none"/>
        </w:rPr>
      </w:pPr>
      <w:r w:rsidDel="00000000" w:rsidR="00000000" w:rsidRPr="00000000">
        <w:rPr>
          <w:rtl w:val="0"/>
        </w:rPr>
        <w:t xml:space="preserve">Developing and nurturing relationships with primary care organisations. E.g.</w:t>
      </w:r>
    </w:p>
    <w:p w:rsidR="00000000" w:rsidDel="00000000" w:rsidP="00000000" w:rsidRDefault="00000000" w:rsidRPr="00000000" w14:paraId="0000002B">
      <w:pPr>
        <w:numPr>
          <w:ilvl w:val="1"/>
          <w:numId w:val="13"/>
        </w:numPr>
        <w:spacing w:after="0" w:afterAutospacing="0"/>
        <w:ind w:left="1440" w:hanging="360"/>
        <w:rPr>
          <w:u w:val="none"/>
        </w:rPr>
      </w:pPr>
      <w:r w:rsidDel="00000000" w:rsidR="00000000" w:rsidRPr="00000000">
        <w:rPr>
          <w:rtl w:val="0"/>
        </w:rPr>
        <w:t xml:space="preserve">Clinical commissioning groups</w:t>
      </w:r>
    </w:p>
    <w:p w:rsidR="00000000" w:rsidDel="00000000" w:rsidP="00000000" w:rsidRDefault="00000000" w:rsidRPr="00000000" w14:paraId="0000002C">
      <w:pPr>
        <w:numPr>
          <w:ilvl w:val="1"/>
          <w:numId w:val="13"/>
        </w:numPr>
        <w:spacing w:after="0" w:afterAutospacing="0"/>
        <w:ind w:left="1440" w:hanging="360"/>
        <w:rPr>
          <w:u w:val="none"/>
        </w:rPr>
      </w:pPr>
      <w:r w:rsidDel="00000000" w:rsidR="00000000" w:rsidRPr="00000000">
        <w:rPr>
          <w:rtl w:val="0"/>
        </w:rPr>
        <w:t xml:space="preserve">LMCs</w:t>
      </w:r>
    </w:p>
    <w:p w:rsidR="00000000" w:rsidDel="00000000" w:rsidP="00000000" w:rsidRDefault="00000000" w:rsidRPr="00000000" w14:paraId="0000002D">
      <w:pPr>
        <w:numPr>
          <w:ilvl w:val="1"/>
          <w:numId w:val="13"/>
        </w:numPr>
        <w:spacing w:after="0" w:afterAutospacing="0"/>
        <w:ind w:left="1440" w:hanging="360"/>
        <w:rPr>
          <w:u w:val="none"/>
        </w:rPr>
      </w:pPr>
      <w:r w:rsidDel="00000000" w:rsidR="00000000" w:rsidRPr="00000000">
        <w:rPr>
          <w:rtl w:val="0"/>
        </w:rPr>
        <w:t xml:space="preserve">RCGP faculties</w:t>
      </w:r>
    </w:p>
    <w:p w:rsidR="00000000" w:rsidDel="00000000" w:rsidP="00000000" w:rsidRDefault="00000000" w:rsidRPr="00000000" w14:paraId="0000002E">
      <w:pPr>
        <w:numPr>
          <w:ilvl w:val="1"/>
          <w:numId w:val="13"/>
        </w:numPr>
        <w:spacing w:after="0" w:afterAutospacing="0"/>
        <w:ind w:left="1440" w:hanging="360"/>
        <w:rPr>
          <w:u w:val="none"/>
        </w:rPr>
      </w:pPr>
      <w:r w:rsidDel="00000000" w:rsidR="00000000" w:rsidRPr="00000000">
        <w:rPr>
          <w:rtl w:val="0"/>
        </w:rPr>
        <w:t xml:space="preserve">GP federations</w:t>
      </w:r>
    </w:p>
    <w:p w:rsidR="00000000" w:rsidDel="00000000" w:rsidP="00000000" w:rsidRDefault="00000000" w:rsidRPr="00000000" w14:paraId="0000002F">
      <w:pPr>
        <w:numPr>
          <w:ilvl w:val="1"/>
          <w:numId w:val="13"/>
        </w:numPr>
        <w:spacing w:after="0" w:afterAutospacing="0"/>
        <w:ind w:left="1440" w:hanging="360"/>
        <w:rPr>
          <w:u w:val="none"/>
        </w:rPr>
      </w:pPr>
      <w:r w:rsidDel="00000000" w:rsidR="00000000" w:rsidRPr="00000000">
        <w:rPr>
          <w:rtl w:val="0"/>
        </w:rPr>
        <w:t xml:space="preserve">STPs</w:t>
      </w:r>
    </w:p>
    <w:p w:rsidR="00000000" w:rsidDel="00000000" w:rsidP="00000000" w:rsidRDefault="00000000" w:rsidRPr="00000000" w14:paraId="00000030">
      <w:pPr>
        <w:numPr>
          <w:ilvl w:val="1"/>
          <w:numId w:val="13"/>
        </w:numPr>
        <w:spacing w:after="0" w:afterAutospacing="0"/>
        <w:ind w:left="1440" w:hanging="360"/>
        <w:rPr>
          <w:u w:val="none"/>
        </w:rPr>
      </w:pPr>
      <w:r w:rsidDel="00000000" w:rsidR="00000000" w:rsidRPr="00000000">
        <w:rPr>
          <w:rtl w:val="0"/>
        </w:rPr>
        <w:t xml:space="preserve">PCNs</w:t>
      </w:r>
    </w:p>
    <w:p w:rsidR="00000000" w:rsidDel="00000000" w:rsidP="00000000" w:rsidRDefault="00000000" w:rsidRPr="00000000" w14:paraId="00000031">
      <w:pPr>
        <w:numPr>
          <w:ilvl w:val="1"/>
          <w:numId w:val="13"/>
        </w:numPr>
        <w:spacing w:after="0" w:afterAutospacing="0"/>
        <w:ind w:left="1440" w:hanging="360"/>
        <w:rPr>
          <w:u w:val="none"/>
        </w:rPr>
      </w:pPr>
      <w:r w:rsidDel="00000000" w:rsidR="00000000" w:rsidRPr="00000000">
        <w:rPr>
          <w:rtl w:val="0"/>
        </w:rPr>
        <w:t xml:space="preserve">Education providers</w:t>
      </w:r>
    </w:p>
    <w:p w:rsidR="00000000" w:rsidDel="00000000" w:rsidP="00000000" w:rsidRDefault="00000000" w:rsidRPr="00000000" w14:paraId="00000032">
      <w:pPr>
        <w:numPr>
          <w:ilvl w:val="1"/>
          <w:numId w:val="13"/>
        </w:numPr>
        <w:spacing w:after="0" w:afterAutospacing="0"/>
        <w:ind w:left="1440" w:hanging="360"/>
        <w:rPr>
          <w:u w:val="none"/>
        </w:rPr>
      </w:pPr>
      <w:r w:rsidDel="00000000" w:rsidR="00000000" w:rsidRPr="00000000">
        <w:rPr>
          <w:rtl w:val="0"/>
        </w:rPr>
        <w:t xml:space="preserve">GP training schemes</w:t>
      </w:r>
    </w:p>
    <w:p w:rsidR="00000000" w:rsidDel="00000000" w:rsidP="00000000" w:rsidRDefault="00000000" w:rsidRPr="00000000" w14:paraId="00000033">
      <w:pPr>
        <w:numPr>
          <w:ilvl w:val="1"/>
          <w:numId w:val="13"/>
        </w:numPr>
        <w:ind w:left="1440" w:hanging="360"/>
        <w:rPr>
          <w:u w:val="none"/>
        </w:rPr>
      </w:pPr>
      <w:r w:rsidDel="00000000" w:rsidR="00000000" w:rsidRPr="00000000">
        <w:rPr>
          <w:rtl w:val="0"/>
        </w:rPr>
        <w:t xml:space="preserve">Prescribing networks</w:t>
      </w:r>
    </w:p>
    <w:p w:rsidR="00000000" w:rsidDel="00000000" w:rsidP="00000000" w:rsidRDefault="00000000" w:rsidRPr="00000000" w14:paraId="00000034">
      <w:pPr>
        <w:pStyle w:val="Heading3"/>
        <w:rPr/>
      </w:pPr>
      <w:bookmarkStart w:colFirst="0" w:colLast="0" w:name="_ituprkaz9t2x" w:id="14"/>
      <w:bookmarkEnd w:id="14"/>
      <w:r w:rsidDel="00000000" w:rsidR="00000000" w:rsidRPr="00000000">
        <w:rPr>
          <w:rtl w:val="0"/>
        </w:rPr>
        <w:t xml:space="preserve">Clinical director</w:t>
      </w:r>
    </w:p>
    <w:p w:rsidR="00000000" w:rsidDel="00000000" w:rsidP="00000000" w:rsidRDefault="00000000" w:rsidRPr="00000000" w14:paraId="00000035">
      <w:pPr>
        <w:numPr>
          <w:ilvl w:val="0"/>
          <w:numId w:val="11"/>
        </w:numPr>
        <w:spacing w:after="0" w:afterAutospacing="0"/>
        <w:ind w:left="720" w:hanging="360"/>
        <w:rPr>
          <w:u w:val="none"/>
        </w:rPr>
      </w:pPr>
      <w:r w:rsidDel="00000000" w:rsidR="00000000" w:rsidRPr="00000000">
        <w:rPr>
          <w:rtl w:val="0"/>
        </w:rPr>
        <w:t xml:space="preserve">Supporting local Chamber Leads and Chamber Managers with clinical governance issues relating to members, practices and NASGP.</w:t>
      </w:r>
    </w:p>
    <w:p w:rsidR="00000000" w:rsidDel="00000000" w:rsidP="00000000" w:rsidRDefault="00000000" w:rsidRPr="00000000" w14:paraId="00000036">
      <w:pPr>
        <w:numPr>
          <w:ilvl w:val="0"/>
          <w:numId w:val="11"/>
        </w:numPr>
        <w:ind w:left="720" w:hanging="360"/>
        <w:rPr>
          <w:u w:val="none"/>
        </w:rPr>
      </w:pPr>
      <w:r w:rsidDel="00000000" w:rsidR="00000000" w:rsidRPr="00000000">
        <w:rPr>
          <w:rtl w:val="0"/>
        </w:rPr>
        <w:t xml:space="preserve">Compiling feedback from chamber members to local practices, taking a systems-based approach to help practices make the most efficient use of their GP locum workforce.</w:t>
      </w:r>
    </w:p>
    <w:p w:rsidR="00000000" w:rsidDel="00000000" w:rsidP="00000000" w:rsidRDefault="00000000" w:rsidRPr="00000000" w14:paraId="00000037">
      <w:pPr>
        <w:pStyle w:val="Heading3"/>
        <w:rPr/>
      </w:pPr>
      <w:bookmarkStart w:colFirst="0" w:colLast="0" w:name="_jnom4qu4gip" w:id="15"/>
      <w:bookmarkEnd w:id="15"/>
      <w:r w:rsidDel="00000000" w:rsidR="00000000" w:rsidRPr="00000000">
        <w:rPr>
          <w:rtl w:val="0"/>
        </w:rPr>
        <w:t xml:space="preserve">Education</w:t>
      </w:r>
    </w:p>
    <w:p w:rsidR="00000000" w:rsidDel="00000000" w:rsidP="00000000" w:rsidRDefault="00000000" w:rsidRPr="00000000" w14:paraId="00000038">
      <w:pPr>
        <w:numPr>
          <w:ilvl w:val="0"/>
          <w:numId w:val="1"/>
        </w:numPr>
        <w:ind w:left="720" w:hanging="360"/>
        <w:rPr>
          <w:u w:val="none"/>
        </w:rPr>
      </w:pPr>
      <w:r w:rsidDel="00000000" w:rsidR="00000000" w:rsidRPr="00000000">
        <w:rPr>
          <w:rtl w:val="0"/>
        </w:rPr>
        <w:t xml:space="preserve">Working with chamber leads to ensure widespread access to quality educational events.</w:t>
      </w:r>
    </w:p>
    <w:p w:rsidR="00000000" w:rsidDel="00000000" w:rsidP="00000000" w:rsidRDefault="00000000" w:rsidRPr="00000000" w14:paraId="00000039">
      <w:pPr>
        <w:pStyle w:val="Heading3"/>
        <w:rPr/>
      </w:pPr>
      <w:bookmarkStart w:colFirst="0" w:colLast="0" w:name="_1rgjymz3no4p" w:id="16"/>
      <w:bookmarkEnd w:id="16"/>
      <w:r w:rsidDel="00000000" w:rsidR="00000000" w:rsidRPr="00000000">
        <w:rPr>
          <w:rtl w:val="0"/>
        </w:rPr>
        <w:t xml:space="preserve">Communications and engagement</w:t>
      </w:r>
    </w:p>
    <w:p w:rsidR="00000000" w:rsidDel="00000000" w:rsidP="00000000" w:rsidRDefault="00000000" w:rsidRPr="00000000" w14:paraId="0000003A">
      <w:pPr>
        <w:numPr>
          <w:ilvl w:val="0"/>
          <w:numId w:val="6"/>
        </w:numPr>
        <w:spacing w:after="0" w:afterAutospacing="0"/>
        <w:ind w:left="720" w:hanging="360"/>
        <w:rPr>
          <w:u w:val="none"/>
        </w:rPr>
      </w:pPr>
      <w:r w:rsidDel="00000000" w:rsidR="00000000" w:rsidRPr="00000000">
        <w:rPr>
          <w:rtl w:val="0"/>
        </w:rPr>
        <w:t xml:space="preserve">Regular, simple updates about what’s happening across your area, fed to NASGP HQ for dissemination, to encourage recruitment and retention.</w:t>
      </w:r>
    </w:p>
    <w:p w:rsidR="00000000" w:rsidDel="00000000" w:rsidP="00000000" w:rsidRDefault="00000000" w:rsidRPr="00000000" w14:paraId="0000003B">
      <w:pPr>
        <w:numPr>
          <w:ilvl w:val="0"/>
          <w:numId w:val="6"/>
        </w:numPr>
        <w:ind w:left="720" w:hanging="360"/>
        <w:rPr>
          <w:u w:val="none"/>
        </w:rPr>
      </w:pPr>
      <w:r w:rsidDel="00000000" w:rsidR="00000000" w:rsidRPr="00000000">
        <w:rPr>
          <w:rtl w:val="0"/>
        </w:rPr>
        <w:t xml:space="preserve">These can be written, video or podcast.</w:t>
      </w:r>
    </w:p>
    <w:p w:rsidR="00000000" w:rsidDel="00000000" w:rsidP="00000000" w:rsidRDefault="00000000" w:rsidRPr="00000000" w14:paraId="0000003C">
      <w:pPr>
        <w:pStyle w:val="Heading3"/>
        <w:rPr/>
      </w:pPr>
      <w:bookmarkStart w:colFirst="0" w:colLast="0" w:name="_5dmt7ir09x53" w:id="17"/>
      <w:bookmarkEnd w:id="17"/>
      <w:r w:rsidDel="00000000" w:rsidR="00000000" w:rsidRPr="00000000">
        <w:rPr>
          <w:rtl w:val="0"/>
        </w:rPr>
        <w:t xml:space="preserve">Development</w:t>
      </w:r>
    </w:p>
    <w:p w:rsidR="00000000" w:rsidDel="00000000" w:rsidP="00000000" w:rsidRDefault="00000000" w:rsidRPr="00000000" w14:paraId="0000003D">
      <w:pPr>
        <w:numPr>
          <w:ilvl w:val="0"/>
          <w:numId w:val="17"/>
        </w:numPr>
        <w:ind w:left="720" w:hanging="360"/>
        <w:rPr>
          <w:u w:val="none"/>
        </w:rPr>
      </w:pPr>
      <w:r w:rsidDel="00000000" w:rsidR="00000000" w:rsidRPr="00000000">
        <w:rPr>
          <w:rtl w:val="0"/>
        </w:rPr>
        <w:t xml:space="preserve">Regular liaison and meetings with NASGP HQ to help improve services and benefits for members.</w:t>
      </w:r>
    </w:p>
    <w:p w:rsidR="00000000" w:rsidDel="00000000" w:rsidP="00000000" w:rsidRDefault="00000000" w:rsidRPr="00000000" w14:paraId="0000003E">
      <w:pPr>
        <w:pStyle w:val="Heading3"/>
        <w:rPr/>
      </w:pPr>
      <w:bookmarkStart w:colFirst="0" w:colLast="0" w:name="_2ylw9u3cafex" w:id="18"/>
      <w:bookmarkEnd w:id="18"/>
      <w:r w:rsidDel="00000000" w:rsidR="00000000" w:rsidRPr="00000000">
        <w:rPr>
          <w:rtl w:val="0"/>
        </w:rPr>
        <w:t xml:space="preserve">Social</w:t>
      </w:r>
    </w:p>
    <w:p w:rsidR="00000000" w:rsidDel="00000000" w:rsidP="00000000" w:rsidRDefault="00000000" w:rsidRPr="00000000" w14:paraId="0000003F">
      <w:pPr>
        <w:numPr>
          <w:ilvl w:val="0"/>
          <w:numId w:val="16"/>
        </w:numPr>
        <w:ind w:left="720" w:hanging="360"/>
        <w:rPr>
          <w:u w:val="none"/>
        </w:rPr>
      </w:pPr>
      <w:r w:rsidDel="00000000" w:rsidR="00000000" w:rsidRPr="00000000">
        <w:rPr>
          <w:rtl w:val="0"/>
        </w:rPr>
        <w:t xml:space="preserve">Working with chamber managers and chambers leads to provide a program of social events for locums across the different chambers in your area.</w:t>
      </w:r>
    </w:p>
    <w:p w:rsidR="00000000" w:rsidDel="00000000" w:rsidP="00000000" w:rsidRDefault="00000000" w:rsidRPr="00000000" w14:paraId="00000040">
      <w:pPr>
        <w:pStyle w:val="Heading2"/>
        <w:rPr/>
      </w:pPr>
      <w:bookmarkStart w:colFirst="0" w:colLast="0" w:name="_xskr3j749b4j" w:id="19"/>
      <w:bookmarkEnd w:id="19"/>
      <w:r w:rsidDel="00000000" w:rsidR="00000000" w:rsidRPr="00000000">
        <w:rPr>
          <w:rtl w:val="0"/>
        </w:rPr>
        <w:t xml:space="preserve">Skills required</w:t>
      </w:r>
    </w:p>
    <w:p w:rsidR="00000000" w:rsidDel="00000000" w:rsidP="00000000" w:rsidRDefault="00000000" w:rsidRPr="00000000" w14:paraId="00000041">
      <w:pPr>
        <w:numPr>
          <w:ilvl w:val="0"/>
          <w:numId w:val="14"/>
        </w:numPr>
        <w:spacing w:after="0" w:afterAutospacing="0"/>
        <w:ind w:left="720" w:hanging="360"/>
        <w:rPr>
          <w:u w:val="none"/>
        </w:rPr>
      </w:pPr>
      <w:r w:rsidDel="00000000" w:rsidR="00000000" w:rsidRPr="00000000">
        <w:rPr>
          <w:rtl w:val="0"/>
        </w:rPr>
        <w:t xml:space="preserve">Highly self motivated and able to work as part of a remote team</w:t>
      </w:r>
    </w:p>
    <w:p w:rsidR="00000000" w:rsidDel="00000000" w:rsidP="00000000" w:rsidRDefault="00000000" w:rsidRPr="00000000" w14:paraId="00000042">
      <w:pPr>
        <w:numPr>
          <w:ilvl w:val="0"/>
          <w:numId w:val="14"/>
        </w:numPr>
        <w:spacing w:after="0" w:afterAutospacing="0"/>
        <w:ind w:left="720" w:hanging="360"/>
        <w:rPr>
          <w:u w:val="none"/>
        </w:rPr>
      </w:pPr>
      <w:r w:rsidDel="00000000" w:rsidR="00000000" w:rsidRPr="00000000">
        <w:rPr>
          <w:rtl w:val="0"/>
        </w:rPr>
        <w:t xml:space="preserve">Driven by a passion to provide a sustainable and innovative locum chamber workforce solution to the benefit of your area’s local health economy.</w:t>
      </w:r>
    </w:p>
    <w:p w:rsidR="00000000" w:rsidDel="00000000" w:rsidP="00000000" w:rsidRDefault="00000000" w:rsidRPr="00000000" w14:paraId="00000043">
      <w:pPr>
        <w:numPr>
          <w:ilvl w:val="0"/>
          <w:numId w:val="14"/>
        </w:numPr>
        <w:spacing w:after="0" w:afterAutospacing="0"/>
        <w:ind w:left="720" w:hanging="360"/>
        <w:rPr>
          <w:u w:val="none"/>
        </w:rPr>
      </w:pPr>
      <w:r w:rsidDel="00000000" w:rsidR="00000000" w:rsidRPr="00000000">
        <w:rPr>
          <w:rtl w:val="0"/>
        </w:rPr>
        <w:t xml:space="preserve">Ability to perform ‘front of house’ role – i.e first point of contact for queries</w:t>
      </w:r>
    </w:p>
    <w:p w:rsidR="00000000" w:rsidDel="00000000" w:rsidP="00000000" w:rsidRDefault="00000000" w:rsidRPr="00000000" w14:paraId="00000044">
      <w:pPr>
        <w:numPr>
          <w:ilvl w:val="0"/>
          <w:numId w:val="14"/>
        </w:numPr>
        <w:spacing w:after="0" w:afterAutospacing="0"/>
        <w:ind w:left="720" w:hanging="360"/>
        <w:rPr>
          <w:u w:val="none"/>
        </w:rPr>
      </w:pPr>
      <w:r w:rsidDel="00000000" w:rsidR="00000000" w:rsidRPr="00000000">
        <w:rPr>
          <w:rtl w:val="0"/>
        </w:rPr>
        <w:t xml:space="preserve">Highly organised</w:t>
      </w:r>
    </w:p>
    <w:p w:rsidR="00000000" w:rsidDel="00000000" w:rsidP="00000000" w:rsidRDefault="00000000" w:rsidRPr="00000000" w14:paraId="00000045">
      <w:pPr>
        <w:numPr>
          <w:ilvl w:val="0"/>
          <w:numId w:val="14"/>
        </w:numPr>
        <w:spacing w:after="0" w:afterAutospacing="0"/>
        <w:ind w:left="720" w:hanging="360"/>
        <w:rPr>
          <w:u w:val="none"/>
        </w:rPr>
      </w:pPr>
      <w:r w:rsidDel="00000000" w:rsidR="00000000" w:rsidRPr="00000000">
        <w:rPr>
          <w:rtl w:val="0"/>
        </w:rPr>
        <w:t xml:space="preserve">Display high level of discretion and confidentiality</w:t>
      </w:r>
    </w:p>
    <w:p w:rsidR="00000000" w:rsidDel="00000000" w:rsidP="00000000" w:rsidRDefault="00000000" w:rsidRPr="00000000" w14:paraId="00000046">
      <w:pPr>
        <w:numPr>
          <w:ilvl w:val="0"/>
          <w:numId w:val="14"/>
        </w:numPr>
        <w:ind w:left="720" w:hanging="360"/>
        <w:rPr>
          <w:u w:val="none"/>
        </w:rPr>
      </w:pPr>
      <w:r w:rsidDel="00000000" w:rsidR="00000000" w:rsidRPr="00000000">
        <w:rPr>
          <w:rtl w:val="0"/>
        </w:rPr>
        <w:t xml:space="preserve">Ability to communicate via phone and email</w:t>
      </w:r>
    </w:p>
    <w:p w:rsidR="00000000" w:rsidDel="00000000" w:rsidP="00000000" w:rsidRDefault="00000000" w:rsidRPr="00000000" w14:paraId="00000047">
      <w:pPr>
        <w:pStyle w:val="Heading1"/>
        <w:rPr/>
      </w:pPr>
      <w:bookmarkStart w:colFirst="0" w:colLast="0" w:name="_8sj0lr68hg3h" w:id="20"/>
      <w:bookmarkEnd w:id="20"/>
      <w:r w:rsidDel="00000000" w:rsidR="00000000" w:rsidRPr="00000000">
        <w:rPr>
          <w:rtl w:val="0"/>
        </w:rPr>
        <w:t xml:space="preserve">Notes</w:t>
      </w:r>
    </w:p>
    <w:p w:rsidR="00000000" w:rsidDel="00000000" w:rsidP="00000000" w:rsidRDefault="00000000" w:rsidRPr="00000000" w14:paraId="00000048">
      <w:pPr>
        <w:numPr>
          <w:ilvl w:val="0"/>
          <w:numId w:val="9"/>
        </w:numPr>
        <w:spacing w:after="0" w:afterAutospacing="0" w:before="0" w:line="276" w:lineRule="auto"/>
        <w:ind w:left="720" w:hanging="360"/>
        <w:rPr>
          <w:u w:val="none"/>
        </w:rPr>
      </w:pPr>
      <w:r w:rsidDel="00000000" w:rsidR="00000000" w:rsidRPr="00000000">
        <w:rPr>
          <w:rtl w:val="0"/>
        </w:rPr>
        <w:t xml:space="preserve">As an advisory role, the fulfilment of the notional time commitment to undertake the above responsibilities will be agreed by negotiation between the appointee and the NASGP.</w:t>
      </w:r>
    </w:p>
    <w:p w:rsidR="00000000" w:rsidDel="00000000" w:rsidP="00000000" w:rsidRDefault="00000000" w:rsidRPr="00000000" w14:paraId="00000049">
      <w:pPr>
        <w:numPr>
          <w:ilvl w:val="0"/>
          <w:numId w:val="9"/>
        </w:numPr>
        <w:spacing w:after="0" w:afterAutospacing="0" w:before="0" w:line="276" w:lineRule="auto"/>
        <w:ind w:left="720" w:hanging="360"/>
        <w:rPr>
          <w:u w:val="none"/>
        </w:rPr>
      </w:pPr>
      <w:r w:rsidDel="00000000" w:rsidR="00000000" w:rsidRPr="00000000">
        <w:rPr>
          <w:rtl w:val="0"/>
        </w:rPr>
        <w:t xml:space="preserve">The above list of key responsibilities does not purport to be exhaustive and additional responsibilities may be mutually agreed.</w:t>
      </w:r>
    </w:p>
    <w:p w:rsidR="00000000" w:rsidDel="00000000" w:rsidP="00000000" w:rsidRDefault="00000000" w:rsidRPr="00000000" w14:paraId="0000004A">
      <w:pPr>
        <w:numPr>
          <w:ilvl w:val="0"/>
          <w:numId w:val="9"/>
        </w:numPr>
        <w:spacing w:before="0" w:line="276" w:lineRule="auto"/>
        <w:ind w:left="720" w:hanging="360"/>
        <w:rPr>
          <w:u w:val="none"/>
        </w:rPr>
      </w:pPr>
      <w:r w:rsidDel="00000000" w:rsidR="00000000" w:rsidRPr="00000000">
        <w:rPr>
          <w:rtl w:val="0"/>
        </w:rPr>
        <w:t xml:space="preserve">Whilst representing the NASGP, the appointee will be expected to comply with relevant NASGP policies.</w:t>
      </w:r>
    </w:p>
    <w:p w:rsidR="00000000" w:rsidDel="00000000" w:rsidP="00000000" w:rsidRDefault="00000000" w:rsidRPr="00000000" w14:paraId="0000004B">
      <w:pPr>
        <w:spacing w:before="0" w:line="276" w:lineRule="auto"/>
        <w:rPr/>
      </w:pPr>
      <w:r w:rsidDel="00000000" w:rsidR="00000000" w:rsidRPr="00000000">
        <w:rPr>
          <w:rtl w:val="0"/>
        </w:rPr>
      </w:r>
    </w:p>
    <w:sectPr>
      <w:headerReference r:id="rId7" w:type="default"/>
      <w:headerReference r:id="rId8" w:type="first"/>
      <w:footerReference r:id="rId9" w:type="default"/>
      <w:footerReference r:id="rId10" w:type="first"/>
      <w:pgSz w:h="16838" w:w="11906"/>
      <w:pgMar w:bottom="850.3937007874016" w:top="850.3937007874016" w:left="850.3937007874016" w:right="850.3937007874016"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rPr>
        <w:sz w:val="16"/>
        <w:szCs w:val="1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304800</wp:posOffset>
          </wp:positionV>
          <wp:extent cx="381000" cy="190500"/>
          <wp:effectExtent b="0" l="0" r="0" t="0"/>
          <wp:wrapSquare wrapText="bothSides" distB="114300" distT="114300" distL="114300" distR="114300"/>
          <wp:docPr descr="NASGP - Spip Standardised Practice Information Portal.png" id="4" name="image2.png"/>
          <a:graphic>
            <a:graphicData uri="http://schemas.openxmlformats.org/drawingml/2006/picture">
              <pic:pic>
                <pic:nvPicPr>
                  <pic:cNvPr descr="NASGP - Spip Standardised Practice Information Portal.png" id="0" name="image2.png"/>
                  <pic:cNvPicPr preferRelativeResize="0"/>
                </pic:nvPicPr>
                <pic:blipFill>
                  <a:blip r:embed="rId1"/>
                  <a:srcRect b="0" l="0" r="0" t="0"/>
                  <a:stretch>
                    <a:fillRect/>
                  </a:stretch>
                </pic:blipFill>
                <pic:spPr>
                  <a:xfrm>
                    <a:off x="0" y="0"/>
                    <a:ext cx="381000" cy="190500"/>
                  </a:xfrm>
                  <a:prstGeom prst="rect"/>
                  <a:ln/>
                </pic:spPr>
              </pic:pic>
            </a:graphicData>
          </a:graphic>
        </wp:anchor>
      </w:drawing>
    </w:r>
  </w:p>
  <w:tbl>
    <w:tblPr>
      <w:tblStyle w:val="Table3"/>
      <w:tblW w:w="10209.212598425198" w:type="dxa"/>
      <w:jc w:val="left"/>
      <w:tblInd w:w="0.0" w:type="pct"/>
      <w:tblLayout w:type="fixed"/>
      <w:tblLook w:val="0600"/>
    </w:tblPr>
    <w:tblGrid>
      <w:gridCol w:w="3717.095459607168"/>
      <w:gridCol w:w="3246.0585694090146"/>
      <w:gridCol w:w="3246.0585694090146"/>
      <w:tblGridChange w:id="0">
        <w:tblGrid>
          <w:gridCol w:w="3717.095459607168"/>
          <w:gridCol w:w="3246.0585694090146"/>
          <w:gridCol w:w="3246.0585694090146"/>
        </w:tblGrid>
      </w:tblGridChange>
    </w:tblGrid>
    <w:tr>
      <w:tc>
        <w:tcPr>
          <w:tcBorders>
            <w:top w:color="d9d9d9" w:space="0" w:sz="4" w:val="single"/>
            <w:left w:color="000000" w:space="0" w:sz="0" w:val="nil"/>
            <w:bottom w:color="000000" w:space="0" w:sz="0" w:val="nil"/>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051">
          <w:pPr>
            <w:spacing w:line="240" w:lineRule="auto"/>
            <w:rPr>
              <w:color w:val="666666"/>
              <w:sz w:val="16"/>
              <w:szCs w:val="16"/>
            </w:rPr>
          </w:pPr>
          <w:r w:rsidDel="00000000" w:rsidR="00000000" w:rsidRPr="00000000">
            <w:rPr>
              <w:rtl w:val="0"/>
            </w:rPr>
            <w:t xml:space="preserve"> </w:t>
          </w:r>
          <w:r w:rsidDel="00000000" w:rsidR="00000000" w:rsidRPr="00000000">
            <w:rPr>
              <w:color w:val="666666"/>
              <w:sz w:val="16"/>
              <w:szCs w:val="16"/>
              <w:rtl w:val="0"/>
            </w:rPr>
            <w:t xml:space="preserve">© NASGP 14/02/2020</w:t>
          </w:r>
        </w:p>
      </w:tc>
      <w:tc>
        <w:tcPr>
          <w:tcBorders>
            <w:top w:color="d9d9d9" w:space="0" w:sz="4" w:val="single"/>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2">
          <w:pPr>
            <w:spacing w:line="240" w:lineRule="auto"/>
            <w:rPr>
              <w:sz w:val="16"/>
              <w:szCs w:val="16"/>
            </w:rPr>
          </w:pPr>
          <w:r w:rsidDel="00000000" w:rsidR="00000000" w:rsidRPr="00000000">
            <w:rPr>
              <w:color w:val="666666"/>
              <w:sz w:val="16"/>
              <w:szCs w:val="16"/>
              <w:rtl w:val="0"/>
            </w:rPr>
            <w:t xml:space="preserve">Version 1.0</w:t>
          </w:r>
          <w:r w:rsidDel="00000000" w:rsidR="00000000" w:rsidRPr="00000000">
            <w:rPr>
              <w:rtl w:val="0"/>
            </w:rPr>
          </w:r>
        </w:p>
      </w:tc>
      <w:tc>
        <w:tcPr>
          <w:tcBorders>
            <w:top w:color="d9d9d9" w:space="0" w:sz="4" w:val="single"/>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3">
          <w:pPr>
            <w:spacing w:line="240" w:lineRule="auto"/>
            <w:jc w:val="right"/>
            <w:rPr>
              <w:sz w:val="16"/>
              <w:szCs w:val="16"/>
            </w:rPr>
          </w:pPr>
          <w:r w:rsidDel="00000000" w:rsidR="00000000" w:rsidRPr="00000000">
            <w:rPr>
              <w:color w:val="666666"/>
              <w:sz w:val="16"/>
              <w:szCs w:val="16"/>
              <w:rtl w:val="0"/>
            </w:rPr>
            <w:t xml:space="preserve">Page </w:t>
          </w:r>
          <w:r w:rsidDel="00000000" w:rsidR="00000000" w:rsidRPr="00000000">
            <w:rPr>
              <w:color w:val="666666"/>
              <w:sz w:val="16"/>
              <w:szCs w:val="16"/>
            </w:rPr>
            <w:fldChar w:fldCharType="begin"/>
            <w:instrText xml:space="preserve">PAGE</w:instrText>
            <w:fldChar w:fldCharType="separate"/>
            <w:fldChar w:fldCharType="end"/>
          </w:r>
          <w:r w:rsidDel="00000000" w:rsidR="00000000" w:rsidRPr="00000000">
            <w:rPr>
              <w:color w:val="666666"/>
              <w:sz w:val="16"/>
              <w:szCs w:val="16"/>
              <w:rtl w:val="0"/>
            </w:rPr>
            <w:t xml:space="preserve"> of </w:t>
          </w:r>
          <w:r w:rsidDel="00000000" w:rsidR="00000000" w:rsidRPr="00000000">
            <w:rPr>
              <w:color w:val="666666"/>
              <w:sz w:val="16"/>
              <w:szCs w:val="16"/>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54">
    <w:pPr>
      <w:rPr>
        <w:rFonts w:ascii="Arial" w:cs="Arial" w:eastAsia="Arial" w:hAnsi="Arial"/>
        <w:sz w:val="16"/>
        <w:szCs w:val="16"/>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rPr>
        <w:sz w:val="16"/>
        <w:szCs w:val="1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314325</wp:posOffset>
          </wp:positionV>
          <wp:extent cx="381000" cy="190500"/>
          <wp:effectExtent b="0" l="0" r="0" t="0"/>
          <wp:wrapSquare wrapText="bothSides" distB="114300" distT="114300" distL="114300" distR="114300"/>
          <wp:docPr descr="NASGP - Spip Standardised Practice Information Portal.png" id="2" name="image4.png"/>
          <a:graphic>
            <a:graphicData uri="http://schemas.openxmlformats.org/drawingml/2006/picture">
              <pic:pic>
                <pic:nvPicPr>
                  <pic:cNvPr descr="NASGP - Spip Standardised Practice Information Portal.png" id="0" name="image4.png"/>
                  <pic:cNvPicPr preferRelativeResize="0"/>
                </pic:nvPicPr>
                <pic:blipFill>
                  <a:blip r:embed="rId1"/>
                  <a:srcRect b="0" l="637" r="637" t="0"/>
                  <a:stretch>
                    <a:fillRect/>
                  </a:stretch>
                </pic:blipFill>
                <pic:spPr>
                  <a:xfrm>
                    <a:off x="0" y="0"/>
                    <a:ext cx="381000" cy="190500"/>
                  </a:xfrm>
                  <a:prstGeom prst="rect"/>
                  <a:ln/>
                </pic:spPr>
              </pic:pic>
            </a:graphicData>
          </a:graphic>
        </wp:anchor>
      </w:drawing>
    </w:r>
  </w:p>
  <w:tbl>
    <w:tblPr>
      <w:tblStyle w:val="Table5"/>
      <w:tblW w:w="10209.212598425198" w:type="dxa"/>
      <w:jc w:val="left"/>
      <w:tblInd w:w="0.0" w:type="pct"/>
      <w:tblLayout w:type="fixed"/>
      <w:tblLook w:val="0600"/>
    </w:tblPr>
    <w:tblGrid>
      <w:gridCol w:w="3717.095459607168"/>
      <w:gridCol w:w="3246.0585694090146"/>
      <w:gridCol w:w="3246.0585694090146"/>
      <w:tblGridChange w:id="0">
        <w:tblGrid>
          <w:gridCol w:w="3717.095459607168"/>
          <w:gridCol w:w="3246.0585694090146"/>
          <w:gridCol w:w="3246.0585694090146"/>
        </w:tblGrid>
      </w:tblGridChange>
    </w:tblGrid>
    <w:tr>
      <w:tc>
        <w:tcPr>
          <w:tcBorders>
            <w:top w:color="d9d9d9" w:space="0" w:sz="4" w:val="single"/>
            <w:left w:color="000000" w:space="0" w:sz="0" w:val="nil"/>
            <w:bottom w:color="000000" w:space="0" w:sz="0" w:val="nil"/>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05B">
          <w:pPr>
            <w:spacing w:line="240" w:lineRule="auto"/>
            <w:rPr>
              <w:color w:val="666666"/>
              <w:sz w:val="16"/>
              <w:szCs w:val="16"/>
            </w:rPr>
          </w:pPr>
          <w:r w:rsidDel="00000000" w:rsidR="00000000" w:rsidRPr="00000000">
            <w:rPr>
              <w:rtl w:val="0"/>
            </w:rPr>
            <w:t xml:space="preserve"> </w:t>
          </w:r>
          <w:r w:rsidDel="00000000" w:rsidR="00000000" w:rsidRPr="00000000">
            <w:rPr>
              <w:color w:val="666666"/>
              <w:sz w:val="16"/>
              <w:szCs w:val="16"/>
              <w:rtl w:val="0"/>
            </w:rPr>
            <w:t xml:space="preserve">© NASGP 14/02/2020</w:t>
          </w:r>
        </w:p>
      </w:tc>
      <w:tc>
        <w:tcPr>
          <w:tcBorders>
            <w:top w:color="d9d9d9" w:space="0" w:sz="4" w:val="single"/>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C">
          <w:pPr>
            <w:spacing w:line="240" w:lineRule="auto"/>
            <w:rPr>
              <w:sz w:val="16"/>
              <w:szCs w:val="16"/>
            </w:rPr>
          </w:pPr>
          <w:r w:rsidDel="00000000" w:rsidR="00000000" w:rsidRPr="00000000">
            <w:rPr>
              <w:color w:val="666666"/>
              <w:sz w:val="16"/>
              <w:szCs w:val="16"/>
              <w:rtl w:val="0"/>
            </w:rPr>
            <w:t xml:space="preserve">Version 1.0</w:t>
          </w:r>
          <w:r w:rsidDel="00000000" w:rsidR="00000000" w:rsidRPr="00000000">
            <w:rPr>
              <w:rtl w:val="0"/>
            </w:rPr>
          </w:r>
        </w:p>
      </w:tc>
      <w:tc>
        <w:tcPr>
          <w:tcBorders>
            <w:top w:color="d9d9d9" w:space="0" w:sz="4" w:val="single"/>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D">
          <w:pPr>
            <w:spacing w:line="240" w:lineRule="auto"/>
            <w:jc w:val="right"/>
            <w:rPr>
              <w:sz w:val="16"/>
              <w:szCs w:val="16"/>
            </w:rPr>
          </w:pPr>
          <w:r w:rsidDel="00000000" w:rsidR="00000000" w:rsidRPr="00000000">
            <w:rPr>
              <w:color w:val="666666"/>
              <w:sz w:val="16"/>
              <w:szCs w:val="16"/>
              <w:rtl w:val="0"/>
            </w:rPr>
            <w:t xml:space="preserve">Page </w:t>
          </w:r>
          <w:r w:rsidDel="00000000" w:rsidR="00000000" w:rsidRPr="00000000">
            <w:rPr>
              <w:color w:val="666666"/>
              <w:sz w:val="16"/>
              <w:szCs w:val="16"/>
            </w:rPr>
            <w:fldChar w:fldCharType="begin"/>
            <w:instrText xml:space="preserve">PAGE</w:instrText>
            <w:fldChar w:fldCharType="separate"/>
            <w:fldChar w:fldCharType="end"/>
          </w:r>
          <w:r w:rsidDel="00000000" w:rsidR="00000000" w:rsidRPr="00000000">
            <w:rPr>
              <w:color w:val="666666"/>
              <w:sz w:val="16"/>
              <w:szCs w:val="16"/>
              <w:rtl w:val="0"/>
            </w:rPr>
            <w:t xml:space="preserve"> of </w:t>
          </w:r>
          <w:r w:rsidDel="00000000" w:rsidR="00000000" w:rsidRPr="00000000">
            <w:rPr>
              <w:color w:val="666666"/>
              <w:sz w:val="16"/>
              <w:szCs w:val="16"/>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5E">
    <w:pPr>
      <w:rPr>
        <w:rFonts w:ascii="Arial" w:cs="Arial" w:eastAsia="Arial" w:hAnsi="Arial"/>
        <w:sz w:val="16"/>
        <w:szCs w:val="16"/>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rPr>
        <w:rFonts w:ascii="Arial" w:cs="Arial" w:eastAsia="Arial" w:hAnsi="Arial"/>
        <w:sz w:val="16"/>
        <w:szCs w:val="16"/>
      </w:rPr>
    </w:pPr>
    <w:r w:rsidDel="00000000" w:rsidR="00000000" w:rsidRPr="00000000">
      <w:rPr>
        <w:rtl w:val="0"/>
      </w:rPr>
    </w:r>
  </w:p>
  <w:tbl>
    <w:tblPr>
      <w:tblStyle w:val="Table2"/>
      <w:tblW w:w="10200.0" w:type="dxa"/>
      <w:jc w:val="left"/>
      <w:tblInd w:w="0.0" w:type="pct"/>
      <w:tblLayout w:type="fixed"/>
      <w:tblLook w:val="0600"/>
    </w:tblPr>
    <w:tblGrid>
      <w:gridCol w:w="6180"/>
      <w:gridCol w:w="4020"/>
      <w:tblGridChange w:id="0">
        <w:tblGrid>
          <w:gridCol w:w="6180"/>
          <w:gridCol w:w="4020"/>
        </w:tblGrid>
      </w:tblGridChange>
    </w:tblGrid>
    <w:tr>
      <w:trPr>
        <w:trHeight w:val="440" w:hRule="atLeast"/>
      </w:trPr>
      <w:tc>
        <w:tcPr>
          <w:gridSpan w:val="2"/>
          <w:tcBorders>
            <w:top w:color="000000" w:space="0" w:sz="0" w:val="nil"/>
            <w:left w:color="000000" w:space="0" w:sz="0" w:val="nil"/>
            <w:bottom w:color="999999" w:space="0" w:sz="4"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04D">
          <w:pPr>
            <w:spacing w:line="240" w:lineRule="auto"/>
            <w:jc w:val="right"/>
            <w:rPr>
              <w:rFonts w:ascii="Arial" w:cs="Arial" w:eastAsia="Arial" w:hAnsi="Arial"/>
              <w:b w:val="1"/>
              <w:color w:val="87b437"/>
              <w:sz w:val="48"/>
              <w:szCs w:val="48"/>
            </w:rPr>
          </w:pPr>
          <w:r w:rsidDel="00000000" w:rsidR="00000000" w:rsidRPr="00000000">
            <w:rPr>
              <w:sz w:val="22"/>
              <w:szCs w:val="22"/>
            </w:rPr>
            <w:drawing>
              <wp:inline distB="114300" distT="114300" distL="114300" distR="114300">
                <wp:extent cx="385536" cy="190500"/>
                <wp:effectExtent b="0" l="0" r="0" t="0"/>
                <wp:docPr id="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385536" cy="1905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4F">
    <w:pPr>
      <w:rPr>
        <w:sz w:val="16"/>
        <w:szCs w:val="16"/>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rPr>
        <w:sz w:val="16"/>
        <w:szCs w:val="16"/>
      </w:rPr>
    </w:pPr>
    <w:r w:rsidDel="00000000" w:rsidR="00000000" w:rsidRPr="00000000">
      <w:rPr>
        <w:rtl w:val="0"/>
      </w:rPr>
    </w:r>
  </w:p>
  <w:p w:rsidR="00000000" w:rsidDel="00000000" w:rsidP="00000000" w:rsidRDefault="00000000" w:rsidRPr="00000000" w14:paraId="00000056">
    <w:pPr>
      <w:rPr>
        <w:sz w:val="22"/>
        <w:szCs w:val="22"/>
      </w:rPr>
    </w:pPr>
    <w:r w:rsidDel="00000000" w:rsidR="00000000" w:rsidRPr="00000000">
      <w:rPr>
        <w:rtl w:val="0"/>
      </w:rPr>
    </w:r>
  </w:p>
  <w:tbl>
    <w:tblPr>
      <w:tblStyle w:val="Table4"/>
      <w:tblW w:w="10740.0"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7965"/>
      <w:gridCol w:w="2775"/>
      <w:tblGridChange w:id="0">
        <w:tblGrid>
          <w:gridCol w:w="7965"/>
          <w:gridCol w:w="2775"/>
        </w:tblGrid>
      </w:tblGridChange>
    </w:tblGrid>
    <w:tr>
      <w:tc>
        <w:tcPr>
          <w:shd w:fill="efefef" w:val="clear"/>
          <w:tcMar>
            <w:top w:w="100.0" w:type="dxa"/>
            <w:left w:w="100.0" w:type="dxa"/>
            <w:bottom w:w="100.0" w:type="dxa"/>
            <w:right w:w="100.0" w:type="dxa"/>
          </w:tcMar>
          <w:vAlign w:val="center"/>
        </w:tcPr>
        <w:p w:rsidR="00000000" w:rsidDel="00000000" w:rsidP="00000000" w:rsidRDefault="00000000" w:rsidRPr="00000000" w14:paraId="00000057">
          <w:pPr>
            <w:pStyle w:val="Title"/>
            <w:keepNext w:val="1"/>
            <w:keepLines w:val="1"/>
            <w:rPr>
              <w:sz w:val="42"/>
              <w:szCs w:val="42"/>
            </w:rPr>
          </w:pPr>
          <w:bookmarkStart w:colFirst="0" w:colLast="0" w:name="_o5oejeoxwjfe" w:id="21"/>
          <w:bookmarkEnd w:id="21"/>
          <w:r w:rsidDel="00000000" w:rsidR="00000000" w:rsidRPr="00000000">
            <w:rPr>
              <w:sz w:val="42"/>
              <w:szCs w:val="42"/>
              <w:rtl w:val="0"/>
            </w:rPr>
            <w:t xml:space="preserve">'Chamber Clinical Director’ - job description</w:t>
            <w:br w:type="textWrapping"/>
          </w:r>
          <w:r w:rsidDel="00000000" w:rsidR="00000000" w:rsidRPr="00000000">
            <w:rPr>
              <w:i w:val="1"/>
              <w:color w:val="666666"/>
              <w:sz w:val="26"/>
              <w:szCs w:val="26"/>
              <w:rtl w:val="0"/>
            </w:rPr>
            <w:t xml:space="preserve">NASGP GP Locum Chambers</w:t>
          </w:r>
          <w:r w:rsidDel="00000000" w:rsidR="00000000" w:rsidRPr="00000000">
            <w:rPr>
              <w:rtl w:val="0"/>
            </w:rPr>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58">
          <w:pPr>
            <w:spacing w:line="240" w:lineRule="auto"/>
            <w:jc w:val="center"/>
            <w:rPr>
              <w:sz w:val="22"/>
              <w:szCs w:val="22"/>
            </w:rPr>
          </w:pPr>
          <w:r w:rsidDel="00000000" w:rsidR="00000000" w:rsidRPr="00000000">
            <w:rPr>
              <w:sz w:val="22"/>
              <w:szCs w:val="22"/>
            </w:rPr>
            <w:drawing>
              <wp:inline distB="114300" distT="114300" distL="114300" distR="114300">
                <wp:extent cx="1628775" cy="8001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28775" cy="8001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5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elvetica Neue" w:cs="Helvetica Neue" w:eastAsia="Helvetica Neue" w:hAnsi="Helvetica Neue"/>
        <w:sz w:val="24"/>
        <w:szCs w:val="24"/>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Pr>
    <w:rPr>
      <w:b w:val="1"/>
      <w:sz w:val="32"/>
      <w:szCs w:val="32"/>
    </w:rPr>
  </w:style>
  <w:style w:type="paragraph" w:styleId="Heading2">
    <w:name w:val="heading 2"/>
    <w:basedOn w:val="Normal"/>
    <w:next w:val="Normal"/>
    <w:pPr>
      <w:keepNext w:val="1"/>
      <w:keepLines w:val="1"/>
    </w:pPr>
    <w:rPr>
      <w:b w:val="1"/>
      <w:color w:val="0085c3"/>
      <w:sz w:val="28"/>
      <w:szCs w:val="28"/>
    </w:rPr>
  </w:style>
  <w:style w:type="paragraph" w:styleId="Heading3">
    <w:name w:val="heading 3"/>
    <w:basedOn w:val="Normal"/>
    <w:next w:val="Normal"/>
    <w:pPr>
      <w:keepNext w:val="1"/>
      <w:keepLines w:val="1"/>
    </w:pPr>
    <w:rPr>
      <w:b w:val="1"/>
      <w:color w:val="7ab800"/>
    </w:rPr>
  </w:style>
  <w:style w:type="paragraph" w:styleId="Heading4">
    <w:name w:val="heading 4"/>
    <w:basedOn w:val="Normal"/>
    <w:next w:val="Normal"/>
    <w:pPr>
      <w:keepNext w:val="1"/>
      <w:keepLines w:val="1"/>
    </w:pPr>
    <w:rPr>
      <w:b w:val="1"/>
      <w:color w:val="666666"/>
    </w:rPr>
  </w:style>
  <w:style w:type="paragraph" w:styleId="Heading5">
    <w:name w:val="heading 5"/>
    <w:basedOn w:val="Normal"/>
    <w:next w:val="Normal"/>
    <w:pPr>
      <w:keepNext w:val="1"/>
      <w:keepLines w:val="1"/>
    </w:pPr>
    <w:rPr>
      <w:b w:val="1"/>
      <w:color w:val="b7b7b7"/>
    </w:rPr>
  </w:style>
  <w:style w:type="paragraph" w:styleId="Heading6">
    <w:name w:val="heading 6"/>
    <w:basedOn w:val="Normal"/>
    <w:next w:val="Normal"/>
    <w:pPr>
      <w:keepNext w:val="1"/>
      <w:keepLines w:val="1"/>
    </w:pPr>
    <w:rPr>
      <w:i w:val="1"/>
    </w:rPr>
  </w:style>
  <w:style w:type="paragraph" w:styleId="Title">
    <w:name w:val="Title"/>
    <w:basedOn w:val="Normal"/>
    <w:next w:val="Normal"/>
    <w:pPr>
      <w:keepNext w:val="1"/>
      <w:keepLines w:val="1"/>
    </w:pPr>
    <w:rPr>
      <w:rFonts w:ascii="Helvetica Neue" w:cs="Helvetica Neue" w:eastAsia="Helvetica Neue" w:hAnsi="Helvetica Neue"/>
      <w:sz w:val="72"/>
      <w:szCs w:val="72"/>
    </w:rPr>
  </w:style>
  <w:style w:type="paragraph" w:styleId="Subtitle">
    <w:name w:val="Subtitle"/>
    <w:basedOn w:val="Normal"/>
    <w:next w:val="Normal"/>
    <w:pPr>
      <w:keepNext w:val="1"/>
      <w:keepLines w:val="1"/>
      <w:spacing w:after="200" w:lineRule="auto"/>
    </w:pPr>
    <w:rPr>
      <w:rFonts w:ascii="Helvetica Neue" w:cs="Helvetica Neue" w:eastAsia="Helvetica Neue" w:hAnsi="Helvetica Neue"/>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nasgp.org.uk/platform-faqs/nasgp-locumdeck-chambers-operating-system/" TargetMode="Externa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